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B083B" w14:textId="1F7E7255" w:rsidR="002B0EC2" w:rsidRDefault="002B0EC2" w:rsidP="001D7AA7">
      <w:pPr>
        <w:spacing w:before="120"/>
        <w:jc w:val="center"/>
        <w:rPr>
          <w:b/>
          <w:sz w:val="28"/>
          <w:szCs w:val="28"/>
          <w:u w:val="single"/>
          <w:lang w:val="fr-FR"/>
        </w:rPr>
      </w:pPr>
      <w:bookmarkStart w:id="0" w:name="_GoBack"/>
      <w:bookmarkEnd w:id="0"/>
      <w:r w:rsidRPr="00AB000C">
        <w:rPr>
          <w:b/>
          <w:sz w:val="28"/>
          <w:szCs w:val="28"/>
          <w:u w:val="single"/>
          <w:lang w:val="fr-FR"/>
        </w:rPr>
        <w:t>QUESTIONS FREQUEMMENT POSEES</w:t>
      </w:r>
    </w:p>
    <w:p w14:paraId="50F4EA9D" w14:textId="69CDF5FA" w:rsidR="002B0EC2" w:rsidRPr="00AB000C" w:rsidRDefault="002B0EC2" w:rsidP="001D7AA7">
      <w:pPr>
        <w:spacing w:before="120"/>
        <w:jc w:val="center"/>
        <w:rPr>
          <w:b/>
          <w:i/>
          <w:iCs/>
          <w:sz w:val="28"/>
          <w:szCs w:val="28"/>
          <w:lang w:val="fr-FR"/>
        </w:rPr>
      </w:pPr>
      <w:r>
        <w:rPr>
          <w:b/>
          <w:i/>
          <w:iCs/>
          <w:sz w:val="28"/>
          <w:szCs w:val="28"/>
          <w:lang w:val="fr-FR"/>
        </w:rPr>
        <w:t xml:space="preserve">Mise à jour le : </w:t>
      </w:r>
      <w:r w:rsidR="007F7572">
        <w:rPr>
          <w:b/>
          <w:i/>
          <w:iCs/>
          <w:sz w:val="28"/>
          <w:szCs w:val="28"/>
          <w:lang w:val="fr-FR"/>
        </w:rPr>
        <w:t>2</w:t>
      </w:r>
      <w:r w:rsidR="00AF5847">
        <w:rPr>
          <w:b/>
          <w:i/>
          <w:iCs/>
          <w:sz w:val="28"/>
          <w:szCs w:val="28"/>
          <w:lang w:val="fr-FR"/>
        </w:rPr>
        <w:t>4</w:t>
      </w:r>
      <w:r w:rsidR="007F7572">
        <w:rPr>
          <w:b/>
          <w:i/>
          <w:iCs/>
          <w:sz w:val="28"/>
          <w:szCs w:val="28"/>
          <w:lang w:val="fr-FR"/>
        </w:rPr>
        <w:t xml:space="preserve"> </w:t>
      </w:r>
      <w:r>
        <w:rPr>
          <w:b/>
          <w:i/>
          <w:iCs/>
          <w:sz w:val="28"/>
          <w:szCs w:val="28"/>
          <w:lang w:val="fr-FR"/>
        </w:rPr>
        <w:t>avril 2020</w:t>
      </w:r>
    </w:p>
    <w:p w14:paraId="21C3AE65" w14:textId="728BE9F9" w:rsidR="00025C49" w:rsidRPr="00A97728" w:rsidRDefault="00D830C3" w:rsidP="001D7AA7">
      <w:pPr>
        <w:spacing w:before="120"/>
        <w:jc w:val="center"/>
        <w:rPr>
          <w:b/>
          <w:sz w:val="28"/>
          <w:szCs w:val="28"/>
          <w:lang w:val="fr-FR"/>
        </w:rPr>
      </w:pPr>
      <w:r>
        <w:rPr>
          <w:b/>
          <w:sz w:val="28"/>
          <w:szCs w:val="28"/>
          <w:lang w:val="fr-FR"/>
        </w:rPr>
        <w:t xml:space="preserve">TOSIKA FAMENO : </w:t>
      </w:r>
      <w:r w:rsidR="001D7AA7" w:rsidRPr="00A97728">
        <w:rPr>
          <w:b/>
          <w:sz w:val="28"/>
          <w:szCs w:val="28"/>
          <w:lang w:val="fr-FR"/>
        </w:rPr>
        <w:t>R</w:t>
      </w:r>
      <w:r w:rsidR="006E12E7" w:rsidRPr="00A97728">
        <w:rPr>
          <w:b/>
          <w:sz w:val="28"/>
          <w:szCs w:val="28"/>
          <w:lang w:val="fr-FR"/>
        </w:rPr>
        <w:t xml:space="preserve">éponse </w:t>
      </w:r>
      <w:r w:rsidR="002B0EC2">
        <w:rPr>
          <w:b/>
          <w:sz w:val="28"/>
          <w:szCs w:val="28"/>
          <w:lang w:val="fr-FR"/>
        </w:rPr>
        <w:t xml:space="preserve">en </w:t>
      </w:r>
      <w:r w:rsidR="006E12E7" w:rsidRPr="00A97728">
        <w:rPr>
          <w:b/>
          <w:sz w:val="28"/>
          <w:szCs w:val="28"/>
          <w:lang w:val="fr-FR"/>
        </w:rPr>
        <w:t xml:space="preserve">protection sociale </w:t>
      </w:r>
      <w:r w:rsidR="002B0EC2" w:rsidRPr="00AB000C">
        <w:rPr>
          <w:b/>
          <w:sz w:val="28"/>
          <w:szCs w:val="28"/>
          <w:lang w:val="fr-FR"/>
        </w:rPr>
        <w:t xml:space="preserve">aux moyens de transferts monétaires non conditionnels en milieux urbain et suburbain </w:t>
      </w:r>
      <w:r w:rsidR="005262C6" w:rsidRPr="00A97728">
        <w:rPr>
          <w:b/>
          <w:sz w:val="28"/>
          <w:szCs w:val="28"/>
          <w:lang w:val="fr-FR"/>
        </w:rPr>
        <w:t xml:space="preserve">en milieux urbain et suburbain </w:t>
      </w:r>
      <w:r w:rsidR="00025C49" w:rsidRPr="00A97728">
        <w:rPr>
          <w:b/>
          <w:sz w:val="28"/>
          <w:szCs w:val="28"/>
          <w:lang w:val="fr-FR"/>
        </w:rPr>
        <w:t>face au COVID-19</w:t>
      </w:r>
    </w:p>
    <w:p w14:paraId="27D4802B" w14:textId="1E45AF37" w:rsidR="00E65221" w:rsidRDefault="00E65221" w:rsidP="001D7AA7">
      <w:pPr>
        <w:spacing w:before="120"/>
        <w:jc w:val="center"/>
        <w:rPr>
          <w:b/>
          <w:sz w:val="28"/>
          <w:szCs w:val="28"/>
          <w:lang w:val="fr-FR"/>
        </w:rPr>
      </w:pPr>
    </w:p>
    <w:p w14:paraId="630EB9EC" w14:textId="5928294C" w:rsidR="00E65221" w:rsidRPr="00AB000C" w:rsidRDefault="00F45808" w:rsidP="00952A9B">
      <w:pPr>
        <w:pStyle w:val="Heading2"/>
        <w:rPr>
          <w:i/>
          <w:iCs/>
          <w:lang w:val="fr-FR"/>
        </w:rPr>
      </w:pPr>
      <w:r w:rsidRPr="00AB000C">
        <w:rPr>
          <w:i/>
          <w:iCs/>
          <w:lang w:val="fr-FR"/>
        </w:rPr>
        <w:t xml:space="preserve">Q1. Pourquoi a-t-on mis en place le TOSIKA FAMENO ? </w:t>
      </w:r>
    </w:p>
    <w:p w14:paraId="7A7CF581" w14:textId="247CED78" w:rsidR="0047372A" w:rsidRDefault="00F45808" w:rsidP="004368D7">
      <w:pPr>
        <w:spacing w:after="240"/>
        <w:jc w:val="both"/>
        <w:rPr>
          <w:i/>
          <w:iCs/>
          <w:lang w:val="fr-FR"/>
        </w:rPr>
      </w:pPr>
      <w:r w:rsidRPr="00F45808">
        <w:rPr>
          <w:b/>
          <w:bCs/>
          <w:i/>
          <w:iCs/>
          <w:lang w:val="fr-FR"/>
        </w:rPr>
        <w:t>Réponse </w:t>
      </w:r>
      <w:r>
        <w:rPr>
          <w:i/>
          <w:iCs/>
          <w:lang w:val="fr-FR"/>
        </w:rPr>
        <w:t xml:space="preserve">: </w:t>
      </w:r>
      <w:r w:rsidR="003B16C8">
        <w:rPr>
          <w:i/>
          <w:iCs/>
          <w:lang w:val="fr-FR"/>
        </w:rPr>
        <w:t>Le plan d’urgence sociale, dénommé TOSIKA FAMENO a été mis en place par l’Etat malagasy</w:t>
      </w:r>
      <w:r w:rsidR="006B08FF">
        <w:rPr>
          <w:i/>
          <w:iCs/>
          <w:lang w:val="fr-FR"/>
        </w:rPr>
        <w:t>,</w:t>
      </w:r>
      <w:r w:rsidR="003B16C8">
        <w:rPr>
          <w:i/>
          <w:iCs/>
          <w:lang w:val="fr-FR"/>
        </w:rPr>
        <w:t xml:space="preserve"> avec l’appui des partenaires techniques et financiers (PTF)</w:t>
      </w:r>
      <w:r w:rsidR="006B08FF">
        <w:rPr>
          <w:i/>
          <w:iCs/>
          <w:lang w:val="fr-FR"/>
        </w:rPr>
        <w:t>,</w:t>
      </w:r>
      <w:r w:rsidR="003B16C8">
        <w:rPr>
          <w:i/>
          <w:iCs/>
          <w:lang w:val="fr-FR"/>
        </w:rPr>
        <w:t xml:space="preserve"> </w:t>
      </w:r>
      <w:proofErr w:type="gramStart"/>
      <w:r w:rsidR="003B16C8">
        <w:rPr>
          <w:i/>
          <w:iCs/>
          <w:lang w:val="fr-FR"/>
        </w:rPr>
        <w:t>suite aux</w:t>
      </w:r>
      <w:proofErr w:type="gramEnd"/>
      <w:r w:rsidR="003B16C8">
        <w:rPr>
          <w:i/>
          <w:iCs/>
          <w:lang w:val="fr-FR"/>
        </w:rPr>
        <w:t xml:space="preserve"> mesures de confinement annoncées par le Président de </w:t>
      </w:r>
      <w:r w:rsidR="003B16C8" w:rsidRPr="003B16C8">
        <w:rPr>
          <w:i/>
          <w:iCs/>
          <w:lang w:val="fr-FR"/>
        </w:rPr>
        <w:t>la République Malagasy</w:t>
      </w:r>
      <w:r w:rsidR="003B16C8">
        <w:rPr>
          <w:i/>
          <w:iCs/>
          <w:lang w:val="fr-FR"/>
        </w:rPr>
        <w:t xml:space="preserve"> </w:t>
      </w:r>
      <w:r w:rsidR="003B16C8" w:rsidRPr="00F45808">
        <w:rPr>
          <w:i/>
          <w:iCs/>
          <w:lang w:val="fr-FR"/>
        </w:rPr>
        <w:t>dans les trois régions les plus touchées</w:t>
      </w:r>
      <w:r w:rsidR="003B16C8">
        <w:rPr>
          <w:i/>
          <w:iCs/>
          <w:lang w:val="fr-FR"/>
        </w:rPr>
        <w:t xml:space="preserve"> par le COVID19 </w:t>
      </w:r>
      <w:r w:rsidR="00DA15CC">
        <w:rPr>
          <w:i/>
          <w:iCs/>
          <w:lang w:val="fr-FR"/>
        </w:rPr>
        <w:t xml:space="preserve">à </w:t>
      </w:r>
      <w:r w:rsidR="003B16C8">
        <w:rPr>
          <w:i/>
          <w:iCs/>
          <w:lang w:val="fr-FR"/>
        </w:rPr>
        <w:t>Madagascar</w:t>
      </w:r>
      <w:r w:rsidR="003B16C8" w:rsidRPr="00F45808">
        <w:rPr>
          <w:i/>
          <w:iCs/>
          <w:lang w:val="fr-FR"/>
        </w:rPr>
        <w:t>, à savoir, Antananarivo, Toamasina et Fianarantsoa</w:t>
      </w:r>
      <w:r w:rsidR="003B16C8">
        <w:rPr>
          <w:i/>
          <w:iCs/>
          <w:lang w:val="fr-FR"/>
        </w:rPr>
        <w:t xml:space="preserve">. </w:t>
      </w:r>
      <w:r w:rsidR="0047372A">
        <w:rPr>
          <w:i/>
          <w:iCs/>
          <w:lang w:val="fr-FR"/>
        </w:rPr>
        <w:t>Même</w:t>
      </w:r>
      <w:r w:rsidR="00D87616">
        <w:rPr>
          <w:i/>
          <w:iCs/>
          <w:lang w:val="fr-FR"/>
        </w:rPr>
        <w:t xml:space="preserve"> si le </w:t>
      </w:r>
      <w:r w:rsidR="0047372A">
        <w:rPr>
          <w:i/>
          <w:iCs/>
          <w:lang w:val="fr-FR"/>
        </w:rPr>
        <w:t>déconfinement</w:t>
      </w:r>
      <w:r w:rsidR="00D87616">
        <w:rPr>
          <w:i/>
          <w:iCs/>
          <w:lang w:val="fr-FR"/>
        </w:rPr>
        <w:t xml:space="preserve"> partiel est </w:t>
      </w:r>
      <w:r w:rsidR="0047372A">
        <w:rPr>
          <w:i/>
          <w:iCs/>
          <w:lang w:val="fr-FR"/>
        </w:rPr>
        <w:t>annoncé</w:t>
      </w:r>
      <w:r w:rsidR="00D87616">
        <w:rPr>
          <w:i/>
          <w:iCs/>
          <w:lang w:val="fr-FR"/>
        </w:rPr>
        <w:t xml:space="preserve"> par </w:t>
      </w:r>
      <w:r w:rsidR="00D77F2E">
        <w:rPr>
          <w:i/>
          <w:iCs/>
          <w:lang w:val="fr-FR"/>
        </w:rPr>
        <w:t xml:space="preserve">le </w:t>
      </w:r>
      <w:r w:rsidR="0047372A">
        <w:rPr>
          <w:i/>
          <w:iCs/>
          <w:lang w:val="fr-FR"/>
        </w:rPr>
        <w:t>Président</w:t>
      </w:r>
      <w:r w:rsidR="00D77F2E">
        <w:rPr>
          <w:i/>
          <w:iCs/>
          <w:lang w:val="fr-FR"/>
        </w:rPr>
        <w:t xml:space="preserve"> de la </w:t>
      </w:r>
      <w:r w:rsidR="0047372A">
        <w:rPr>
          <w:i/>
          <w:iCs/>
          <w:lang w:val="fr-FR"/>
        </w:rPr>
        <w:t>République</w:t>
      </w:r>
      <w:r w:rsidR="00D77F2E">
        <w:rPr>
          <w:i/>
          <w:iCs/>
          <w:lang w:val="fr-FR"/>
        </w:rPr>
        <w:t xml:space="preserve"> dans ces </w:t>
      </w:r>
      <w:r w:rsidR="0047372A">
        <w:rPr>
          <w:i/>
          <w:iCs/>
          <w:lang w:val="fr-FR"/>
        </w:rPr>
        <w:t>régions</w:t>
      </w:r>
      <w:r w:rsidR="00D77F2E">
        <w:rPr>
          <w:i/>
          <w:iCs/>
          <w:lang w:val="fr-FR"/>
        </w:rPr>
        <w:t xml:space="preserve">, </w:t>
      </w:r>
      <w:r w:rsidR="0047372A" w:rsidRPr="0047372A">
        <w:rPr>
          <w:i/>
          <w:iCs/>
          <w:lang w:val="fr-FR"/>
        </w:rPr>
        <w:t xml:space="preserve">permettant aux populations de </w:t>
      </w:r>
      <w:proofErr w:type="gramStart"/>
      <w:r w:rsidR="0047372A" w:rsidRPr="0047372A">
        <w:rPr>
          <w:i/>
          <w:iCs/>
          <w:lang w:val="fr-FR"/>
        </w:rPr>
        <w:t>reprendre</w:t>
      </w:r>
      <w:proofErr w:type="gramEnd"/>
      <w:r w:rsidR="0047372A" w:rsidRPr="0047372A">
        <w:rPr>
          <w:i/>
          <w:iCs/>
          <w:lang w:val="fr-FR"/>
        </w:rPr>
        <w:t xml:space="preserve"> leurs activités économiques </w:t>
      </w:r>
      <w:r w:rsidR="00D34A30">
        <w:rPr>
          <w:i/>
          <w:iCs/>
          <w:lang w:val="fr-FR"/>
        </w:rPr>
        <w:t>pour une demi-journée (</w:t>
      </w:r>
      <w:r w:rsidR="0047372A" w:rsidRPr="0047372A">
        <w:rPr>
          <w:i/>
          <w:iCs/>
          <w:lang w:val="fr-FR"/>
        </w:rPr>
        <w:t xml:space="preserve">de 6 </w:t>
      </w:r>
      <w:r w:rsidR="00BF2B24" w:rsidRPr="0047372A">
        <w:rPr>
          <w:i/>
          <w:iCs/>
          <w:lang w:val="fr-FR"/>
        </w:rPr>
        <w:t>à</w:t>
      </w:r>
      <w:r w:rsidR="0047372A" w:rsidRPr="0047372A">
        <w:rPr>
          <w:i/>
          <w:iCs/>
          <w:lang w:val="fr-FR"/>
        </w:rPr>
        <w:t xml:space="preserve"> 13h</w:t>
      </w:r>
      <w:r w:rsidR="00D34A30">
        <w:rPr>
          <w:i/>
          <w:iCs/>
          <w:lang w:val="fr-FR"/>
        </w:rPr>
        <w:t xml:space="preserve">), les </w:t>
      </w:r>
      <w:r w:rsidR="0047372A" w:rsidRPr="0047372A">
        <w:rPr>
          <w:i/>
          <w:iCs/>
          <w:lang w:val="fr-FR"/>
        </w:rPr>
        <w:t xml:space="preserve">mesures affectent </w:t>
      </w:r>
      <w:r w:rsidR="004B45E4">
        <w:rPr>
          <w:i/>
          <w:iCs/>
          <w:lang w:val="fr-FR"/>
        </w:rPr>
        <w:t>toujours</w:t>
      </w:r>
      <w:r w:rsidR="0047372A" w:rsidRPr="0047372A">
        <w:rPr>
          <w:i/>
          <w:iCs/>
          <w:lang w:val="fr-FR"/>
        </w:rPr>
        <w:t xml:space="preserve"> plusieurs ménages dont l’exercice de leur travail journalier est perturbé ainsi que ceux dont les revenus sont déjà fragiles.</w:t>
      </w:r>
    </w:p>
    <w:p w14:paraId="372F62F4" w14:textId="4B104545" w:rsidR="001E183B" w:rsidRDefault="001E183B" w:rsidP="004368D7">
      <w:pPr>
        <w:spacing w:after="240"/>
        <w:jc w:val="both"/>
        <w:rPr>
          <w:i/>
          <w:iCs/>
          <w:lang w:val="fr-FR"/>
        </w:rPr>
      </w:pPr>
      <w:r>
        <w:rPr>
          <w:i/>
          <w:iCs/>
          <w:lang w:val="fr-FR"/>
        </w:rPr>
        <w:t xml:space="preserve">TOSIKA FAMENO a pour objectif </w:t>
      </w:r>
      <w:r w:rsidRPr="001E183B">
        <w:rPr>
          <w:i/>
          <w:iCs/>
          <w:lang w:val="fr-FR"/>
        </w:rPr>
        <w:t xml:space="preserve">d’atténuer et de réduire les </w:t>
      </w:r>
      <w:r w:rsidR="00B72314">
        <w:rPr>
          <w:i/>
          <w:iCs/>
          <w:lang w:val="fr-FR"/>
        </w:rPr>
        <w:t>impacts</w:t>
      </w:r>
      <w:r w:rsidRPr="001E183B">
        <w:rPr>
          <w:i/>
          <w:iCs/>
          <w:lang w:val="fr-FR"/>
        </w:rPr>
        <w:t xml:space="preserve"> </w:t>
      </w:r>
      <w:r w:rsidR="00B72314">
        <w:rPr>
          <w:i/>
          <w:iCs/>
          <w:lang w:val="fr-FR"/>
        </w:rPr>
        <w:t>économiques</w:t>
      </w:r>
      <w:r w:rsidRPr="001E183B">
        <w:rPr>
          <w:i/>
          <w:iCs/>
          <w:lang w:val="fr-FR"/>
        </w:rPr>
        <w:t xml:space="preserve"> </w:t>
      </w:r>
      <w:r w:rsidR="004B45E4">
        <w:rPr>
          <w:i/>
          <w:iCs/>
          <w:lang w:val="fr-FR"/>
        </w:rPr>
        <w:t xml:space="preserve">des mesures </w:t>
      </w:r>
      <w:r w:rsidR="001A756E">
        <w:rPr>
          <w:i/>
          <w:iCs/>
          <w:lang w:val="fr-FR"/>
        </w:rPr>
        <w:t>de</w:t>
      </w:r>
      <w:r w:rsidRPr="001E183B">
        <w:rPr>
          <w:i/>
          <w:iCs/>
          <w:lang w:val="fr-FR"/>
        </w:rPr>
        <w:t xml:space="preserve"> confinement </w:t>
      </w:r>
      <w:r w:rsidR="001A756E">
        <w:rPr>
          <w:i/>
          <w:iCs/>
          <w:lang w:val="fr-FR"/>
        </w:rPr>
        <w:t xml:space="preserve">et de perturbation des activités économiques </w:t>
      </w:r>
      <w:r w:rsidRPr="001E183B">
        <w:rPr>
          <w:i/>
          <w:iCs/>
          <w:lang w:val="fr-FR"/>
        </w:rPr>
        <w:t xml:space="preserve">pour les catégories de ménages </w:t>
      </w:r>
      <w:r w:rsidR="00B72314">
        <w:rPr>
          <w:i/>
          <w:iCs/>
          <w:lang w:val="fr-FR"/>
        </w:rPr>
        <w:t>privés de ressources</w:t>
      </w:r>
      <w:r w:rsidRPr="001E183B">
        <w:rPr>
          <w:i/>
          <w:iCs/>
          <w:lang w:val="fr-FR"/>
        </w:rPr>
        <w:t>,</w:t>
      </w:r>
      <w:r w:rsidR="00B72314">
        <w:rPr>
          <w:i/>
          <w:iCs/>
          <w:lang w:val="fr-FR"/>
        </w:rPr>
        <w:t xml:space="preserve"> ainsi que</w:t>
      </w:r>
      <w:r w:rsidRPr="001E183B">
        <w:rPr>
          <w:i/>
          <w:iCs/>
          <w:lang w:val="fr-FR"/>
        </w:rPr>
        <w:t xml:space="preserve"> les ménages les plus pauvres et les plus exposés à un risque d’insécurité alimentaire.</w:t>
      </w:r>
      <w:r w:rsidR="00E04701">
        <w:rPr>
          <w:i/>
          <w:iCs/>
          <w:lang w:val="fr-FR"/>
        </w:rPr>
        <w:t xml:space="preserve"> </w:t>
      </w:r>
      <w:r w:rsidR="00E04701" w:rsidRPr="00E04701">
        <w:rPr>
          <w:i/>
          <w:iCs/>
          <w:lang w:val="fr-FR"/>
        </w:rPr>
        <w:t>Ce</w:t>
      </w:r>
      <w:r w:rsidR="00DA15CC">
        <w:rPr>
          <w:i/>
          <w:iCs/>
          <w:lang w:val="fr-FR"/>
        </w:rPr>
        <w:t xml:space="preserve">tte initiative </w:t>
      </w:r>
      <w:r w:rsidR="00E04701" w:rsidRPr="00E04701">
        <w:rPr>
          <w:i/>
          <w:iCs/>
          <w:lang w:val="fr-FR"/>
        </w:rPr>
        <w:t xml:space="preserve">est en complément des mesures de dons alimentaires et de facilitation des accès aux </w:t>
      </w:r>
      <w:r w:rsidR="00880CE3">
        <w:rPr>
          <w:i/>
          <w:iCs/>
          <w:lang w:val="fr-FR"/>
        </w:rPr>
        <w:t>produits de première nécessité (</w:t>
      </w:r>
      <w:r w:rsidR="00E04701" w:rsidRPr="00E04701">
        <w:rPr>
          <w:i/>
          <w:iCs/>
          <w:lang w:val="fr-FR"/>
        </w:rPr>
        <w:t>PPN</w:t>
      </w:r>
      <w:r w:rsidR="00880CE3">
        <w:rPr>
          <w:i/>
          <w:iCs/>
          <w:lang w:val="fr-FR"/>
        </w:rPr>
        <w:t>)</w:t>
      </w:r>
      <w:r w:rsidR="00E04701" w:rsidRPr="00E04701">
        <w:rPr>
          <w:i/>
          <w:iCs/>
          <w:lang w:val="fr-FR"/>
        </w:rPr>
        <w:t xml:space="preserve"> déjà mis en place par le </w:t>
      </w:r>
      <w:r w:rsidR="00CE1F66">
        <w:rPr>
          <w:i/>
          <w:iCs/>
          <w:lang w:val="fr-FR"/>
        </w:rPr>
        <w:t>G</w:t>
      </w:r>
      <w:r w:rsidR="00E04701" w:rsidRPr="00E04701">
        <w:rPr>
          <w:i/>
          <w:iCs/>
          <w:lang w:val="fr-FR"/>
        </w:rPr>
        <w:t>ouvernement</w:t>
      </w:r>
      <w:r w:rsidR="00C417E5">
        <w:rPr>
          <w:i/>
          <w:iCs/>
          <w:lang w:val="fr-FR"/>
        </w:rPr>
        <w:t xml:space="preserve"> malagasy</w:t>
      </w:r>
      <w:r w:rsidR="00E04701">
        <w:rPr>
          <w:i/>
          <w:iCs/>
          <w:lang w:val="fr-FR"/>
        </w:rPr>
        <w:t> ; il</w:t>
      </w:r>
      <w:r w:rsidR="00E04701" w:rsidRPr="00E04701">
        <w:rPr>
          <w:i/>
          <w:iCs/>
          <w:lang w:val="fr-FR"/>
        </w:rPr>
        <w:t xml:space="preserve"> cible spécifiquement les ménages vérifiés comme étant les plus vulnérables.</w:t>
      </w:r>
    </w:p>
    <w:p w14:paraId="3A15069A" w14:textId="4201802E" w:rsidR="00B72314" w:rsidRDefault="00B72314" w:rsidP="00D920C1">
      <w:pPr>
        <w:pStyle w:val="Heading2"/>
        <w:rPr>
          <w:i/>
          <w:iCs/>
          <w:lang w:val="fr-FR"/>
        </w:rPr>
      </w:pPr>
      <w:r w:rsidRPr="00B72314">
        <w:rPr>
          <w:i/>
          <w:iCs/>
          <w:lang w:val="fr-FR"/>
        </w:rPr>
        <w:t xml:space="preserve">Q2. Qui sont les bénéficiaires du TOSIKA FAMENO ? </w:t>
      </w:r>
    </w:p>
    <w:p w14:paraId="6AFF4094" w14:textId="41078F47" w:rsidR="00572A96" w:rsidRPr="00AB000C" w:rsidRDefault="00D920C1" w:rsidP="00350397">
      <w:pPr>
        <w:spacing w:after="240"/>
        <w:jc w:val="both"/>
        <w:rPr>
          <w:i/>
          <w:iCs/>
          <w:lang w:val="fr-FR"/>
        </w:rPr>
      </w:pPr>
      <w:r w:rsidRPr="00D920C1">
        <w:rPr>
          <w:b/>
          <w:bCs/>
          <w:i/>
          <w:iCs/>
          <w:lang w:val="fr-FR"/>
        </w:rPr>
        <w:t>Réponse</w:t>
      </w:r>
      <w:r>
        <w:rPr>
          <w:lang w:val="fr-FR"/>
        </w:rPr>
        <w:t xml:space="preserve"> : </w:t>
      </w:r>
      <w:r w:rsidR="0059612D" w:rsidRPr="0011259C">
        <w:rPr>
          <w:i/>
          <w:iCs/>
          <w:lang w:val="fr-FR"/>
        </w:rPr>
        <w:t xml:space="preserve">Les bénéficiaires du TOSIKA FAMENO sont les ménages très pauvres et vulnérables, les plus exposés à un risque d’insécurité alimentaire ainsi que ceux dont les revenus sont interrompus </w:t>
      </w:r>
      <w:r w:rsidR="00FA5D25">
        <w:rPr>
          <w:i/>
          <w:iCs/>
          <w:lang w:val="fr-FR"/>
        </w:rPr>
        <w:t xml:space="preserve">et/ou perturbés </w:t>
      </w:r>
      <w:r w:rsidR="0059612D" w:rsidRPr="0011259C">
        <w:rPr>
          <w:i/>
          <w:iCs/>
          <w:lang w:val="fr-FR"/>
        </w:rPr>
        <w:t xml:space="preserve">à cause du confinement dans les trois régions confinées : Antananarivo – Toamasina et Fianarantsoa. </w:t>
      </w:r>
      <w:r w:rsidR="00D940BD" w:rsidRPr="0011259C">
        <w:rPr>
          <w:i/>
          <w:iCs/>
          <w:lang w:val="fr-FR"/>
        </w:rPr>
        <w:t>C</w:t>
      </w:r>
      <w:r w:rsidR="00F17C44" w:rsidRPr="0011259C">
        <w:rPr>
          <w:i/>
          <w:iCs/>
          <w:lang w:val="fr-FR"/>
        </w:rPr>
        <w:t xml:space="preserve">es ménages sont au nombre de </w:t>
      </w:r>
      <w:r w:rsidR="007006B9" w:rsidRPr="0011259C">
        <w:rPr>
          <w:i/>
          <w:iCs/>
          <w:lang w:val="fr-FR"/>
        </w:rPr>
        <w:t>141 600 issus de 474 fokontany (Antananarivo ville et suburbaine) </w:t>
      </w:r>
      <w:r w:rsidR="00D940BD" w:rsidRPr="0011259C">
        <w:rPr>
          <w:i/>
          <w:iCs/>
          <w:lang w:val="fr-FR"/>
        </w:rPr>
        <w:t>pour Antananarivo, de 25 000 ménages issus de 150 fokontany pour Toamasina ville et suburbaine</w:t>
      </w:r>
      <w:r w:rsidR="00F170D9">
        <w:rPr>
          <w:i/>
          <w:iCs/>
          <w:lang w:val="fr-FR"/>
        </w:rPr>
        <w:t xml:space="preserve">, et de 22 800 </w:t>
      </w:r>
      <w:r w:rsidR="00BB1727">
        <w:rPr>
          <w:i/>
          <w:iCs/>
          <w:lang w:val="fr-FR"/>
        </w:rPr>
        <w:t>ménages</w:t>
      </w:r>
      <w:r w:rsidR="00F170D9">
        <w:rPr>
          <w:i/>
          <w:iCs/>
          <w:lang w:val="fr-FR"/>
        </w:rPr>
        <w:t xml:space="preserve"> issus </w:t>
      </w:r>
      <w:r w:rsidR="00BB1727">
        <w:rPr>
          <w:i/>
          <w:iCs/>
          <w:lang w:val="fr-FR"/>
        </w:rPr>
        <w:t>de 145 fokontany pour Fianarantsoa et suburbaine</w:t>
      </w:r>
      <w:r w:rsidR="00D940BD" w:rsidRPr="0011259C">
        <w:rPr>
          <w:i/>
          <w:iCs/>
          <w:lang w:val="fr-FR"/>
        </w:rPr>
        <w:t xml:space="preserve">. </w:t>
      </w:r>
      <w:r w:rsidR="009A5269" w:rsidRPr="00A81CE7">
        <w:rPr>
          <w:b/>
          <w:bCs/>
          <w:i/>
          <w:iCs/>
          <w:lang w:val="fr-FR"/>
        </w:rPr>
        <w:t xml:space="preserve">Le total des bénéficiaires </w:t>
      </w:r>
      <w:r w:rsidR="00FF6977" w:rsidRPr="00A81CE7">
        <w:rPr>
          <w:b/>
          <w:bCs/>
          <w:i/>
          <w:iCs/>
          <w:lang w:val="fr-FR"/>
        </w:rPr>
        <w:t xml:space="preserve">du TOSIKA FAMENO </w:t>
      </w:r>
      <w:r w:rsidR="009A5269" w:rsidRPr="00A81CE7">
        <w:rPr>
          <w:b/>
          <w:bCs/>
          <w:i/>
          <w:iCs/>
          <w:lang w:val="fr-FR"/>
        </w:rPr>
        <w:t>à Antananarivo</w:t>
      </w:r>
      <w:r w:rsidR="00BB1727" w:rsidRPr="00A81CE7">
        <w:rPr>
          <w:b/>
          <w:bCs/>
          <w:i/>
          <w:iCs/>
          <w:lang w:val="fr-FR"/>
        </w:rPr>
        <w:t xml:space="preserve">, </w:t>
      </w:r>
      <w:r w:rsidR="009A5269" w:rsidRPr="00A81CE7">
        <w:rPr>
          <w:b/>
          <w:bCs/>
          <w:i/>
          <w:iCs/>
          <w:lang w:val="fr-FR"/>
        </w:rPr>
        <w:t>Toamasina</w:t>
      </w:r>
      <w:r w:rsidR="00BB1727" w:rsidRPr="00A81CE7">
        <w:rPr>
          <w:b/>
          <w:bCs/>
          <w:i/>
          <w:iCs/>
          <w:lang w:val="fr-FR"/>
        </w:rPr>
        <w:t xml:space="preserve"> et Fianarantsoa</w:t>
      </w:r>
      <w:r w:rsidR="009A5269" w:rsidRPr="00A81CE7">
        <w:rPr>
          <w:b/>
          <w:bCs/>
          <w:i/>
          <w:iCs/>
          <w:lang w:val="fr-FR"/>
        </w:rPr>
        <w:t xml:space="preserve"> est donc estimé à 1</w:t>
      </w:r>
      <w:r w:rsidR="000E3889" w:rsidRPr="00A81CE7">
        <w:rPr>
          <w:b/>
          <w:bCs/>
          <w:i/>
          <w:iCs/>
          <w:lang w:val="fr-FR"/>
        </w:rPr>
        <w:t>89 400</w:t>
      </w:r>
      <w:r w:rsidR="00C37402" w:rsidRPr="00A81CE7">
        <w:rPr>
          <w:b/>
          <w:bCs/>
          <w:i/>
          <w:iCs/>
          <w:lang w:val="fr-FR"/>
        </w:rPr>
        <w:t xml:space="preserve"> ménages</w:t>
      </w:r>
      <w:r w:rsidR="009A5269">
        <w:rPr>
          <w:i/>
          <w:iCs/>
          <w:lang w:val="fr-FR"/>
        </w:rPr>
        <w:t xml:space="preserve">. </w:t>
      </w:r>
      <w:r w:rsidR="00572A96" w:rsidRPr="00AB000C">
        <w:rPr>
          <w:i/>
          <w:iCs/>
          <w:sz w:val="22"/>
          <w:szCs w:val="22"/>
          <w:lang w:val="fr-FR"/>
        </w:rPr>
        <w:t xml:space="preserve">Il est à souligner que les bénéficiaires dans le cadre du TMNC TOSIKA FAMENO sont les </w:t>
      </w:r>
      <w:r w:rsidR="00572A96" w:rsidRPr="00AB000C">
        <w:rPr>
          <w:b/>
          <w:bCs/>
          <w:i/>
          <w:iCs/>
          <w:sz w:val="22"/>
          <w:szCs w:val="22"/>
          <w:lang w:val="fr-FR"/>
        </w:rPr>
        <w:t xml:space="preserve">ménages </w:t>
      </w:r>
      <w:r w:rsidR="00572A96" w:rsidRPr="00AB000C">
        <w:rPr>
          <w:i/>
          <w:iCs/>
          <w:sz w:val="22"/>
          <w:szCs w:val="22"/>
          <w:lang w:val="fr-FR"/>
        </w:rPr>
        <w:t xml:space="preserve">et non les </w:t>
      </w:r>
      <w:r w:rsidR="00572A96" w:rsidRPr="00AB000C">
        <w:rPr>
          <w:i/>
          <w:iCs/>
          <w:lang w:val="fr-FR"/>
        </w:rPr>
        <w:t xml:space="preserve">individus très vulnérables. Un ménage est défini comme étant l’ensemble des personnes habitant le même logement, partageant les mêmes repas et reconnaissant l’autorité d’une seule personne appelée chef de famille. Dans cette opération d’urgence sociale, </w:t>
      </w:r>
      <w:r w:rsidR="00572A96" w:rsidRPr="00AB000C">
        <w:rPr>
          <w:b/>
          <w:bCs/>
          <w:i/>
          <w:iCs/>
          <w:lang w:val="fr-FR"/>
        </w:rPr>
        <w:t>c’est le chef de ménage qui représente le ménage</w:t>
      </w:r>
      <w:r w:rsidR="00572A96" w:rsidRPr="00AB000C">
        <w:rPr>
          <w:i/>
          <w:iCs/>
          <w:lang w:val="fr-FR"/>
        </w:rPr>
        <w:t>.</w:t>
      </w:r>
    </w:p>
    <w:p w14:paraId="0F45BFF7" w14:textId="14A4F126" w:rsidR="0059612D" w:rsidRPr="00336703" w:rsidRDefault="00336703" w:rsidP="00336703">
      <w:pPr>
        <w:pStyle w:val="Heading2"/>
        <w:rPr>
          <w:i/>
          <w:iCs/>
          <w:lang w:val="fr-FR"/>
        </w:rPr>
      </w:pPr>
      <w:r w:rsidRPr="00336703">
        <w:rPr>
          <w:i/>
          <w:iCs/>
          <w:lang w:val="fr-FR"/>
        </w:rPr>
        <w:lastRenderedPageBreak/>
        <w:t>Q3. Combien reçoivent ces ménages </w:t>
      </w:r>
      <w:r w:rsidR="00716F12">
        <w:rPr>
          <w:i/>
          <w:iCs/>
          <w:lang w:val="fr-FR"/>
        </w:rPr>
        <w:t>bénéficiaires du TOSIKA FAMENO</w:t>
      </w:r>
      <w:r w:rsidR="007635F5">
        <w:rPr>
          <w:i/>
          <w:iCs/>
          <w:lang w:val="fr-FR"/>
        </w:rPr>
        <w:t xml:space="preserve"> </w:t>
      </w:r>
      <w:r w:rsidRPr="00336703">
        <w:rPr>
          <w:i/>
          <w:iCs/>
          <w:lang w:val="fr-FR"/>
        </w:rPr>
        <w:t xml:space="preserve">? </w:t>
      </w:r>
    </w:p>
    <w:p w14:paraId="252EA32C" w14:textId="75D11A6F" w:rsidR="00336703" w:rsidRDefault="00F50BBD" w:rsidP="00DC2065">
      <w:pPr>
        <w:jc w:val="both"/>
        <w:rPr>
          <w:lang w:val="fr-FR"/>
        </w:rPr>
      </w:pPr>
      <w:r w:rsidRPr="00F50BBD">
        <w:rPr>
          <w:b/>
          <w:bCs/>
          <w:i/>
          <w:iCs/>
          <w:lang w:val="fr-FR"/>
        </w:rPr>
        <w:t>Réponse</w:t>
      </w:r>
      <w:r w:rsidR="006B79CF">
        <w:rPr>
          <w:lang w:val="fr-FR"/>
        </w:rPr>
        <w:t xml:space="preserve"> : </w:t>
      </w:r>
      <w:r w:rsidR="00336703" w:rsidRPr="00F50BBD">
        <w:rPr>
          <w:i/>
          <w:iCs/>
          <w:lang w:val="fr-FR"/>
        </w:rPr>
        <w:t xml:space="preserve">Chaque </w:t>
      </w:r>
      <w:r w:rsidR="00730C45" w:rsidRPr="00F50BBD">
        <w:rPr>
          <w:i/>
          <w:iCs/>
          <w:lang w:val="fr-FR"/>
        </w:rPr>
        <w:t>ménage</w:t>
      </w:r>
      <w:r w:rsidR="00336703" w:rsidRPr="00F50BBD">
        <w:rPr>
          <w:i/>
          <w:iCs/>
          <w:lang w:val="fr-FR"/>
        </w:rPr>
        <w:t xml:space="preserve"> </w:t>
      </w:r>
      <w:r w:rsidR="00D95448">
        <w:rPr>
          <w:i/>
          <w:iCs/>
          <w:lang w:val="fr-FR"/>
        </w:rPr>
        <w:t xml:space="preserve">bénéficiaire </w:t>
      </w:r>
      <w:r w:rsidR="00955B80" w:rsidRPr="00F50BBD">
        <w:rPr>
          <w:i/>
          <w:iCs/>
          <w:lang w:val="fr-FR"/>
        </w:rPr>
        <w:t>reçoit</w:t>
      </w:r>
      <w:r w:rsidR="00336703" w:rsidRPr="00F50BBD">
        <w:rPr>
          <w:i/>
          <w:iCs/>
          <w:lang w:val="fr-FR"/>
        </w:rPr>
        <w:t xml:space="preserve"> 100 000 </w:t>
      </w:r>
      <w:proofErr w:type="gramStart"/>
      <w:r w:rsidR="00336703" w:rsidRPr="00F50BBD">
        <w:rPr>
          <w:i/>
          <w:iCs/>
          <w:lang w:val="fr-FR"/>
        </w:rPr>
        <w:t>ariary</w:t>
      </w:r>
      <w:proofErr w:type="gramEnd"/>
      <w:r w:rsidR="00336703" w:rsidRPr="00F50BBD">
        <w:rPr>
          <w:i/>
          <w:iCs/>
          <w:lang w:val="fr-FR"/>
        </w:rPr>
        <w:t xml:space="preserve"> pour un mois et payable </w:t>
      </w:r>
      <w:r w:rsidR="00730C45" w:rsidRPr="00F50BBD">
        <w:rPr>
          <w:i/>
          <w:iCs/>
          <w:lang w:val="fr-FR"/>
        </w:rPr>
        <w:t>en une seule tranche.</w:t>
      </w:r>
      <w:r w:rsidR="00730C45">
        <w:rPr>
          <w:lang w:val="fr-FR"/>
        </w:rPr>
        <w:t xml:space="preserve"> </w:t>
      </w:r>
    </w:p>
    <w:p w14:paraId="5B2E11AE" w14:textId="5A74A8D9" w:rsidR="00336703" w:rsidRDefault="00336703" w:rsidP="00D920C1">
      <w:pPr>
        <w:rPr>
          <w:lang w:val="fr-FR"/>
        </w:rPr>
      </w:pPr>
    </w:p>
    <w:p w14:paraId="0F462970" w14:textId="71F007F0" w:rsidR="00F50BBD" w:rsidRPr="00F50BBD" w:rsidRDefault="00F50BBD" w:rsidP="00F50BBD">
      <w:pPr>
        <w:pStyle w:val="Heading2"/>
        <w:rPr>
          <w:i/>
          <w:iCs/>
          <w:lang w:val="fr-FR"/>
        </w:rPr>
      </w:pPr>
      <w:r w:rsidRPr="00F50BBD">
        <w:rPr>
          <w:i/>
          <w:iCs/>
          <w:lang w:val="fr-FR"/>
        </w:rPr>
        <w:t xml:space="preserve">Q4. Comment le montant de 100 000 </w:t>
      </w:r>
      <w:proofErr w:type="gramStart"/>
      <w:r w:rsidRPr="00F50BBD">
        <w:rPr>
          <w:i/>
          <w:iCs/>
          <w:lang w:val="fr-FR"/>
        </w:rPr>
        <w:t>ariary</w:t>
      </w:r>
      <w:proofErr w:type="gramEnd"/>
      <w:r w:rsidRPr="00F50BBD">
        <w:rPr>
          <w:i/>
          <w:iCs/>
          <w:lang w:val="fr-FR"/>
        </w:rPr>
        <w:t xml:space="preserve"> a-t-il été </w:t>
      </w:r>
      <w:r w:rsidR="00716F12">
        <w:rPr>
          <w:i/>
          <w:iCs/>
          <w:lang w:val="fr-FR"/>
        </w:rPr>
        <w:t>fixé</w:t>
      </w:r>
      <w:r w:rsidR="00716F12" w:rsidRPr="00F50BBD">
        <w:rPr>
          <w:i/>
          <w:iCs/>
          <w:lang w:val="fr-FR"/>
        </w:rPr>
        <w:t> </w:t>
      </w:r>
      <w:r w:rsidRPr="00F50BBD">
        <w:rPr>
          <w:i/>
          <w:iCs/>
          <w:lang w:val="fr-FR"/>
        </w:rPr>
        <w:t>?</w:t>
      </w:r>
    </w:p>
    <w:p w14:paraId="548ABB20" w14:textId="206D6685" w:rsidR="006B79CF" w:rsidRPr="00F50BBD" w:rsidRDefault="00F50BBD" w:rsidP="00DC2065">
      <w:pPr>
        <w:jc w:val="both"/>
        <w:rPr>
          <w:i/>
          <w:iCs/>
          <w:lang w:val="fr-FR"/>
        </w:rPr>
      </w:pPr>
      <w:r w:rsidRPr="00F50BBD">
        <w:rPr>
          <w:b/>
          <w:bCs/>
          <w:i/>
          <w:iCs/>
          <w:lang w:val="fr-FR"/>
        </w:rPr>
        <w:t>Réponse</w:t>
      </w:r>
      <w:r w:rsidRPr="00F50BBD">
        <w:rPr>
          <w:i/>
          <w:iCs/>
          <w:lang w:val="fr-FR"/>
        </w:rPr>
        <w:t xml:space="preserve"> : </w:t>
      </w:r>
      <w:r w:rsidR="006B79CF" w:rsidRPr="00F50BBD">
        <w:rPr>
          <w:i/>
          <w:iCs/>
          <w:lang w:val="fr-FR"/>
        </w:rPr>
        <w:t xml:space="preserve">Les moyens à disposition de l’Etat, le nombre des familles dans la nécessité, les études des manques à gagner dû au confinement et l’esprit de solidarité ont </w:t>
      </w:r>
      <w:r w:rsidR="00716F12">
        <w:rPr>
          <w:i/>
          <w:iCs/>
          <w:lang w:val="fr-FR"/>
        </w:rPr>
        <w:t xml:space="preserve">permis de </w:t>
      </w:r>
      <w:r w:rsidR="006B79CF" w:rsidRPr="00F50BBD">
        <w:rPr>
          <w:i/>
          <w:iCs/>
          <w:lang w:val="fr-FR"/>
        </w:rPr>
        <w:t>détermin</w:t>
      </w:r>
      <w:r w:rsidR="00716F12">
        <w:rPr>
          <w:i/>
          <w:iCs/>
          <w:lang w:val="fr-FR"/>
        </w:rPr>
        <w:t>er</w:t>
      </w:r>
      <w:r w:rsidR="006B79CF" w:rsidRPr="00F50BBD">
        <w:rPr>
          <w:i/>
          <w:iCs/>
          <w:lang w:val="fr-FR"/>
        </w:rPr>
        <w:t xml:space="preserve"> le montant de 100.000 </w:t>
      </w:r>
      <w:proofErr w:type="gramStart"/>
      <w:r w:rsidR="006B79CF" w:rsidRPr="00F50BBD">
        <w:rPr>
          <w:i/>
          <w:iCs/>
          <w:lang w:val="fr-FR"/>
        </w:rPr>
        <w:t>ariary</w:t>
      </w:r>
      <w:proofErr w:type="gramEnd"/>
      <w:r w:rsidR="006B79CF" w:rsidRPr="00F50BBD">
        <w:rPr>
          <w:i/>
          <w:iCs/>
          <w:lang w:val="fr-FR"/>
        </w:rPr>
        <w:t>.</w:t>
      </w:r>
    </w:p>
    <w:p w14:paraId="7392CB9A" w14:textId="77777777" w:rsidR="006B79CF" w:rsidRDefault="006B79CF" w:rsidP="00D920C1">
      <w:pPr>
        <w:rPr>
          <w:lang w:val="fr-FR"/>
        </w:rPr>
      </w:pPr>
    </w:p>
    <w:p w14:paraId="6AF9BFB6" w14:textId="1CFD54F4" w:rsidR="008011F4" w:rsidRPr="006B79CF" w:rsidRDefault="00F50BBD" w:rsidP="00AB000C">
      <w:pPr>
        <w:pStyle w:val="Heading2"/>
        <w:jc w:val="both"/>
        <w:rPr>
          <w:i/>
          <w:iCs/>
          <w:lang w:val="fr-FR"/>
        </w:rPr>
      </w:pPr>
      <w:r>
        <w:rPr>
          <w:i/>
          <w:iCs/>
          <w:lang w:val="fr-FR"/>
        </w:rPr>
        <w:t>Q5</w:t>
      </w:r>
      <w:r w:rsidR="008011F4" w:rsidRPr="006B79CF">
        <w:rPr>
          <w:i/>
          <w:iCs/>
          <w:lang w:val="fr-FR"/>
        </w:rPr>
        <w:t xml:space="preserve">. </w:t>
      </w:r>
      <w:r w:rsidR="006B79CF" w:rsidRPr="006B79CF">
        <w:rPr>
          <w:i/>
          <w:iCs/>
          <w:lang w:val="fr-FR"/>
        </w:rPr>
        <w:t>Etant données</w:t>
      </w:r>
      <w:r w:rsidR="008011F4" w:rsidRPr="006B79CF">
        <w:rPr>
          <w:i/>
          <w:iCs/>
          <w:lang w:val="fr-FR"/>
        </w:rPr>
        <w:t xml:space="preserve"> les mesures de confinement, comment v</w:t>
      </w:r>
      <w:r w:rsidR="006B79CF" w:rsidRPr="006B79CF">
        <w:rPr>
          <w:i/>
          <w:iCs/>
          <w:lang w:val="fr-FR"/>
        </w:rPr>
        <w:t xml:space="preserve">ont se passer </w:t>
      </w:r>
      <w:r w:rsidR="00F61AFB" w:rsidRPr="006B79CF">
        <w:rPr>
          <w:i/>
          <w:iCs/>
          <w:lang w:val="fr-FR"/>
        </w:rPr>
        <w:t>concrètement</w:t>
      </w:r>
      <w:r w:rsidR="006B79CF" w:rsidRPr="006B79CF">
        <w:rPr>
          <w:i/>
          <w:iCs/>
          <w:lang w:val="fr-FR"/>
        </w:rPr>
        <w:t xml:space="preserve"> les transferts monétaires </w:t>
      </w:r>
      <w:r w:rsidR="00D95448">
        <w:rPr>
          <w:i/>
          <w:iCs/>
          <w:lang w:val="fr-FR"/>
        </w:rPr>
        <w:t xml:space="preserve">TOSIKA FAMENO </w:t>
      </w:r>
      <w:r w:rsidR="006B79CF" w:rsidRPr="006B79CF">
        <w:rPr>
          <w:i/>
          <w:iCs/>
          <w:lang w:val="fr-FR"/>
        </w:rPr>
        <w:t xml:space="preserve">? </w:t>
      </w:r>
    </w:p>
    <w:p w14:paraId="7A7F7D3F" w14:textId="2002B830" w:rsidR="006B79CF" w:rsidRPr="006B79CF" w:rsidRDefault="006B79CF" w:rsidP="00DC2065">
      <w:pPr>
        <w:jc w:val="both"/>
        <w:rPr>
          <w:i/>
          <w:iCs/>
          <w:lang w:val="fr-FR"/>
        </w:rPr>
      </w:pPr>
      <w:r w:rsidRPr="006B79CF">
        <w:rPr>
          <w:b/>
          <w:bCs/>
          <w:i/>
          <w:iCs/>
          <w:lang w:val="fr-FR"/>
        </w:rPr>
        <w:t>Réponse</w:t>
      </w:r>
      <w:r w:rsidRPr="006B79CF">
        <w:rPr>
          <w:i/>
          <w:iCs/>
          <w:lang w:val="fr-FR"/>
        </w:rPr>
        <w:t xml:space="preserve"> : Le paiement des transferts aux ménages bénéficiaires </w:t>
      </w:r>
      <w:r w:rsidR="00D95448">
        <w:rPr>
          <w:i/>
          <w:iCs/>
          <w:lang w:val="fr-FR"/>
        </w:rPr>
        <w:t xml:space="preserve">du TOSIKA FAMENO </w:t>
      </w:r>
      <w:r w:rsidRPr="006B79CF">
        <w:rPr>
          <w:i/>
          <w:iCs/>
          <w:lang w:val="fr-FR"/>
        </w:rPr>
        <w:t xml:space="preserve">sera effectué par mobile money pour limiter les risques de contacts entre les personnes. Et, les ménages bénéficiaires pourront ensuite, s’ils le souhaitent, récupérer leur transfert en espèces auprès des agences de paiement tels que les opérateurs en téléphonie mobile, </w:t>
      </w:r>
      <w:proofErr w:type="spellStart"/>
      <w:r w:rsidRPr="006B79CF">
        <w:rPr>
          <w:i/>
          <w:iCs/>
          <w:lang w:val="fr-FR"/>
        </w:rPr>
        <w:t>Paositra</w:t>
      </w:r>
      <w:proofErr w:type="spellEnd"/>
      <w:r w:rsidRPr="006B79CF">
        <w:rPr>
          <w:i/>
          <w:iCs/>
          <w:lang w:val="fr-FR"/>
        </w:rPr>
        <w:t xml:space="preserve"> Money ou Western Union.</w:t>
      </w:r>
      <w:r w:rsidR="00FF348C">
        <w:rPr>
          <w:i/>
          <w:iCs/>
          <w:lang w:val="fr-FR"/>
        </w:rPr>
        <w:t xml:space="preserve"> Lors des retraits physiques, les mesures </w:t>
      </w:r>
      <w:r w:rsidR="005541C2">
        <w:rPr>
          <w:i/>
          <w:iCs/>
          <w:lang w:val="fr-FR"/>
        </w:rPr>
        <w:t>sanitaires de précaution pour lutter contre le coronavirus telle que la</w:t>
      </w:r>
      <w:r w:rsidR="00FF348C">
        <w:rPr>
          <w:i/>
          <w:iCs/>
          <w:lang w:val="fr-FR"/>
        </w:rPr>
        <w:t xml:space="preserve"> distanciation sociale seront respectées. </w:t>
      </w:r>
    </w:p>
    <w:p w14:paraId="4F30BA79" w14:textId="77777777" w:rsidR="008011F4" w:rsidRDefault="008011F4" w:rsidP="00D920C1">
      <w:pPr>
        <w:rPr>
          <w:lang w:val="fr-FR"/>
        </w:rPr>
      </w:pPr>
    </w:p>
    <w:p w14:paraId="1536484C" w14:textId="7EF5A333" w:rsidR="00A6406E" w:rsidRPr="00A6406E" w:rsidRDefault="00A6406E" w:rsidP="00605E17">
      <w:pPr>
        <w:pStyle w:val="Heading2"/>
        <w:rPr>
          <w:i/>
          <w:iCs/>
          <w:lang w:val="fr-FR"/>
        </w:rPr>
      </w:pPr>
      <w:r w:rsidRPr="00A6406E">
        <w:rPr>
          <w:i/>
          <w:iCs/>
          <w:lang w:val="fr-FR"/>
        </w:rPr>
        <w:t xml:space="preserve">Q6. Comment sont sélectionnés les ménages bénéficiaires ? </w:t>
      </w:r>
    </w:p>
    <w:p w14:paraId="655725E8" w14:textId="765BB191" w:rsidR="00B23037" w:rsidRPr="00E77E98" w:rsidRDefault="00C54292" w:rsidP="00DC2065">
      <w:pPr>
        <w:jc w:val="both"/>
        <w:rPr>
          <w:i/>
          <w:iCs/>
          <w:lang w:val="fr-FR"/>
        </w:rPr>
      </w:pPr>
      <w:r w:rsidRPr="00C54292">
        <w:rPr>
          <w:b/>
          <w:bCs/>
          <w:i/>
          <w:iCs/>
          <w:lang w:val="fr-FR"/>
        </w:rPr>
        <w:t>Réponse</w:t>
      </w:r>
      <w:r>
        <w:rPr>
          <w:lang w:val="fr-FR"/>
        </w:rPr>
        <w:t xml:space="preserve"> : </w:t>
      </w:r>
      <w:r w:rsidRPr="00E77E98">
        <w:rPr>
          <w:i/>
          <w:iCs/>
          <w:lang w:val="fr-FR"/>
        </w:rPr>
        <w:t xml:space="preserve">Les ménages bénéficiaires sont des ménages très pauvres et vulnérables, les plus exposés à un risque d’insécurité alimentaire ainsi que ceux dont les revenus sont interrompus à cause du confinement. </w:t>
      </w:r>
      <w:r w:rsidR="00A36577" w:rsidRPr="00E77E98">
        <w:rPr>
          <w:i/>
          <w:iCs/>
          <w:lang w:val="fr-FR"/>
        </w:rPr>
        <w:t xml:space="preserve">Afin de </w:t>
      </w:r>
      <w:r w:rsidR="00E77E98" w:rsidRPr="00E77E98">
        <w:rPr>
          <w:i/>
          <w:iCs/>
          <w:lang w:val="fr-FR"/>
        </w:rPr>
        <w:t>bénéficier</w:t>
      </w:r>
      <w:r w:rsidR="00A36577" w:rsidRPr="00E77E98">
        <w:rPr>
          <w:i/>
          <w:iCs/>
          <w:lang w:val="fr-FR"/>
        </w:rPr>
        <w:t xml:space="preserve"> du TOSIKA FAMENO, </w:t>
      </w:r>
      <w:r w:rsidR="00E77E98">
        <w:rPr>
          <w:i/>
          <w:iCs/>
          <w:lang w:val="fr-FR"/>
        </w:rPr>
        <w:t>les ménages candidats</w:t>
      </w:r>
      <w:r w:rsidR="00A36577" w:rsidRPr="00E77E98">
        <w:rPr>
          <w:i/>
          <w:iCs/>
          <w:lang w:val="fr-FR"/>
        </w:rPr>
        <w:t xml:space="preserve"> doivent d’abord s’inscrire</w:t>
      </w:r>
      <w:r w:rsidR="00DA15CC">
        <w:rPr>
          <w:i/>
          <w:iCs/>
          <w:lang w:val="fr-FR"/>
        </w:rPr>
        <w:t xml:space="preserve"> de leur propre gré</w:t>
      </w:r>
      <w:r w:rsidR="00873868">
        <w:rPr>
          <w:i/>
          <w:iCs/>
          <w:lang w:val="fr-FR"/>
        </w:rPr>
        <w:t>,</w:t>
      </w:r>
      <w:r w:rsidR="00A36577" w:rsidRPr="00E77E98">
        <w:rPr>
          <w:i/>
          <w:iCs/>
          <w:lang w:val="fr-FR"/>
        </w:rPr>
        <w:t xml:space="preserve"> </w:t>
      </w:r>
      <w:r w:rsidR="00B23037" w:rsidRPr="00E77E98">
        <w:rPr>
          <w:i/>
          <w:iCs/>
          <w:lang w:val="fr-FR"/>
        </w:rPr>
        <w:t>au niveau d</w:t>
      </w:r>
      <w:r w:rsidR="00A36577" w:rsidRPr="00E77E98">
        <w:rPr>
          <w:i/>
          <w:iCs/>
          <w:lang w:val="fr-FR"/>
        </w:rPr>
        <w:t>es</w:t>
      </w:r>
      <w:r w:rsidR="00B23037" w:rsidRPr="00E77E98">
        <w:rPr>
          <w:i/>
          <w:iCs/>
          <w:lang w:val="fr-FR"/>
        </w:rPr>
        <w:t xml:space="preserve"> fokontany. </w:t>
      </w:r>
      <w:r w:rsidR="00E77E98">
        <w:rPr>
          <w:i/>
          <w:iCs/>
          <w:lang w:val="fr-FR"/>
        </w:rPr>
        <w:t>Durant cette inscription, p</w:t>
      </w:r>
      <w:r w:rsidR="00E77E98" w:rsidRPr="00E77E98">
        <w:rPr>
          <w:i/>
          <w:iCs/>
          <w:lang w:val="fr-FR"/>
        </w:rPr>
        <w:t xml:space="preserve">lusieurs informations concernant le ménage candidat sont recueillies. </w:t>
      </w:r>
      <w:r w:rsidR="00873868">
        <w:rPr>
          <w:i/>
          <w:iCs/>
          <w:lang w:val="fr-FR"/>
        </w:rPr>
        <w:t>C’est le chef de ménage qui représente le ménage candidat lors de cette inscription et il doit se munir de son carnet de fokontany et de sa carte d’identité nationale. L</w:t>
      </w:r>
      <w:r w:rsidR="00E77E98" w:rsidRPr="00E77E98">
        <w:rPr>
          <w:i/>
          <w:iCs/>
          <w:lang w:val="fr-FR"/>
        </w:rPr>
        <w:t xml:space="preserve">es informations </w:t>
      </w:r>
      <w:r w:rsidR="00873868">
        <w:rPr>
          <w:i/>
          <w:iCs/>
          <w:lang w:val="fr-FR"/>
        </w:rPr>
        <w:t xml:space="preserve">recueillies lors de cette inscription </w:t>
      </w:r>
      <w:r w:rsidR="00E77E98" w:rsidRPr="00E77E98">
        <w:rPr>
          <w:i/>
          <w:iCs/>
          <w:lang w:val="fr-FR"/>
        </w:rPr>
        <w:t>permettent de classer le ménage selon son degré de vulnérabilité pour devenir un ménage bénéficiaire.</w:t>
      </w:r>
      <w:r w:rsidR="001E5693">
        <w:rPr>
          <w:i/>
          <w:iCs/>
          <w:lang w:val="fr-FR"/>
        </w:rPr>
        <w:t xml:space="preserve"> </w:t>
      </w:r>
      <w:r w:rsidR="00B23037" w:rsidRPr="00E77E98">
        <w:rPr>
          <w:i/>
          <w:iCs/>
          <w:lang w:val="fr-FR"/>
        </w:rPr>
        <w:t xml:space="preserve">Être un ménage candidat ne signifie pas forcément être un ménage bénéficiaire. </w:t>
      </w:r>
      <w:r w:rsidR="00E77E98" w:rsidRPr="00E77E98">
        <w:rPr>
          <w:i/>
          <w:iCs/>
          <w:lang w:val="fr-FR"/>
        </w:rPr>
        <w:t xml:space="preserve">Seuls les ménages vérifiés comme étant les plus vulnérables de la communauté pourront bénéficier du </w:t>
      </w:r>
      <w:r w:rsidR="00E77E98">
        <w:rPr>
          <w:i/>
          <w:iCs/>
          <w:lang w:val="fr-FR"/>
        </w:rPr>
        <w:t>TOSIKA FAMENO</w:t>
      </w:r>
      <w:r w:rsidR="00E77E98" w:rsidRPr="00E77E98">
        <w:rPr>
          <w:i/>
          <w:iCs/>
          <w:lang w:val="fr-FR"/>
        </w:rPr>
        <w:t>.</w:t>
      </w:r>
      <w:r w:rsidR="002D07B6">
        <w:rPr>
          <w:i/>
          <w:iCs/>
          <w:lang w:val="fr-FR"/>
        </w:rPr>
        <w:t xml:space="preserve"> </w:t>
      </w:r>
    </w:p>
    <w:p w14:paraId="5B561005" w14:textId="77777777" w:rsidR="00B23037" w:rsidRPr="00B23037" w:rsidRDefault="00B23037" w:rsidP="00B23037">
      <w:pPr>
        <w:rPr>
          <w:lang w:val="fr-FR"/>
        </w:rPr>
      </w:pPr>
    </w:p>
    <w:p w14:paraId="2334F7DE" w14:textId="1A453AC9" w:rsidR="00F55A05" w:rsidRPr="00F55A05" w:rsidRDefault="002D07B6" w:rsidP="00AB000C">
      <w:pPr>
        <w:pStyle w:val="Heading2"/>
        <w:jc w:val="both"/>
        <w:rPr>
          <w:i/>
          <w:iCs/>
          <w:lang w:val="fr-FR"/>
        </w:rPr>
      </w:pPr>
      <w:bookmarkStart w:id="1" w:name="_Toc37684026"/>
      <w:r w:rsidRPr="002D07B6">
        <w:rPr>
          <w:i/>
          <w:iCs/>
          <w:lang w:val="fr-FR"/>
        </w:rPr>
        <w:t xml:space="preserve">Q7. </w:t>
      </w:r>
      <w:r w:rsidR="00F55A05" w:rsidRPr="00F55A05">
        <w:rPr>
          <w:i/>
          <w:iCs/>
          <w:lang w:val="fr-FR"/>
        </w:rPr>
        <w:t xml:space="preserve">Pourquoi seulement </w:t>
      </w:r>
      <w:r w:rsidR="00AD46AE">
        <w:rPr>
          <w:i/>
          <w:iCs/>
          <w:lang w:val="fr-FR"/>
        </w:rPr>
        <w:t xml:space="preserve">environ </w:t>
      </w:r>
      <w:r w:rsidR="00F55A05" w:rsidRPr="00F55A05">
        <w:rPr>
          <w:i/>
          <w:iCs/>
          <w:lang w:val="fr-FR"/>
        </w:rPr>
        <w:t>166.000 ménages et certains fokontany</w:t>
      </w:r>
      <w:r w:rsidR="00921ABF">
        <w:rPr>
          <w:i/>
          <w:iCs/>
          <w:lang w:val="fr-FR"/>
        </w:rPr>
        <w:t xml:space="preserve"> sont ciblés à Antananarivo et Toamasina</w:t>
      </w:r>
      <w:r w:rsidR="00F55A05" w:rsidRPr="00F55A05">
        <w:rPr>
          <w:i/>
          <w:iCs/>
          <w:lang w:val="fr-FR"/>
        </w:rPr>
        <w:t xml:space="preserve"> ?</w:t>
      </w:r>
    </w:p>
    <w:p w14:paraId="5D0492AE" w14:textId="07257428" w:rsidR="00F55A05" w:rsidRPr="00F55A05" w:rsidRDefault="00F55A05" w:rsidP="00DC2065">
      <w:pPr>
        <w:spacing w:after="240"/>
        <w:jc w:val="both"/>
        <w:rPr>
          <w:i/>
          <w:iCs/>
          <w:lang w:val="fr-FR"/>
        </w:rPr>
      </w:pPr>
      <w:r w:rsidRPr="00F55A05">
        <w:rPr>
          <w:b/>
          <w:bCs/>
          <w:i/>
          <w:iCs/>
          <w:lang w:val="fr-FR"/>
        </w:rPr>
        <w:t>Réponse</w:t>
      </w:r>
      <w:r w:rsidRPr="00F55A05">
        <w:rPr>
          <w:i/>
          <w:iCs/>
          <w:lang w:val="fr-FR"/>
        </w:rPr>
        <w:t> : Les moyens à disposition de l’Etat, les études de vulnérabilité des fokontany et l’esprit de solidarité ont déterminé la limitation du nombre des ménages ainsi que la priorisation des fokontany les plus vulnérables.</w:t>
      </w:r>
    </w:p>
    <w:p w14:paraId="7D82DD00" w14:textId="6AE2D956" w:rsidR="002D07B6" w:rsidRPr="002D07B6" w:rsidRDefault="00485822" w:rsidP="00485822">
      <w:pPr>
        <w:pStyle w:val="Heading2"/>
        <w:rPr>
          <w:i/>
          <w:iCs/>
          <w:lang w:val="fr-FR"/>
        </w:rPr>
      </w:pPr>
      <w:r>
        <w:rPr>
          <w:i/>
          <w:iCs/>
          <w:lang w:val="fr-FR"/>
        </w:rPr>
        <w:lastRenderedPageBreak/>
        <w:t xml:space="preserve">Q8. </w:t>
      </w:r>
      <w:r w:rsidR="002D07B6" w:rsidRPr="002D07B6">
        <w:rPr>
          <w:i/>
          <w:iCs/>
          <w:lang w:val="fr-FR"/>
        </w:rPr>
        <w:t xml:space="preserve">Qui finance le TOSIKA FAMENO ? </w:t>
      </w:r>
    </w:p>
    <w:bookmarkEnd w:id="1"/>
    <w:p w14:paraId="654396F9" w14:textId="157C8FC6" w:rsidR="00DB1F05" w:rsidRPr="002D07B6" w:rsidRDefault="002D07B6" w:rsidP="00792884">
      <w:pPr>
        <w:spacing w:after="240" w:line="276" w:lineRule="auto"/>
        <w:jc w:val="both"/>
        <w:rPr>
          <w:i/>
          <w:iCs/>
          <w:lang w:val="fr-FR"/>
        </w:rPr>
      </w:pPr>
      <w:r w:rsidRPr="002D07B6">
        <w:rPr>
          <w:b/>
          <w:bCs/>
          <w:i/>
          <w:iCs/>
          <w:lang w:val="fr-FR"/>
        </w:rPr>
        <w:t>Réponse</w:t>
      </w:r>
      <w:r w:rsidRPr="002D07B6">
        <w:rPr>
          <w:i/>
          <w:iCs/>
          <w:lang w:val="fr-FR"/>
        </w:rPr>
        <w:t xml:space="preserve"> : </w:t>
      </w:r>
      <w:r w:rsidR="00DB1F05" w:rsidRPr="002D07B6">
        <w:rPr>
          <w:i/>
          <w:iCs/>
          <w:lang w:val="fr-FR"/>
        </w:rPr>
        <w:t>L’État Malagasy</w:t>
      </w:r>
      <w:r w:rsidR="00FA0610">
        <w:rPr>
          <w:i/>
          <w:iCs/>
          <w:lang w:val="fr-FR"/>
        </w:rPr>
        <w:t xml:space="preserve"> </w:t>
      </w:r>
      <w:r w:rsidR="00DB1F05" w:rsidRPr="003861AF">
        <w:rPr>
          <w:i/>
          <w:iCs/>
          <w:lang w:val="fr-FR"/>
        </w:rPr>
        <w:t>a mobilisé ses partenaires techniques et financiers</w:t>
      </w:r>
      <w:r w:rsidR="00716257" w:rsidRPr="003861AF">
        <w:rPr>
          <w:i/>
          <w:iCs/>
          <w:lang w:val="fr-FR"/>
        </w:rPr>
        <w:t>,</w:t>
      </w:r>
      <w:r w:rsidR="00DB1F05" w:rsidRPr="003861AF">
        <w:rPr>
          <w:i/>
          <w:iCs/>
          <w:lang w:val="fr-FR"/>
        </w:rPr>
        <w:t xml:space="preserve"> à savoir la Banque mondiale</w:t>
      </w:r>
      <w:r w:rsidR="00DB1F05" w:rsidRPr="002D07B6">
        <w:rPr>
          <w:i/>
          <w:iCs/>
          <w:lang w:val="fr-FR"/>
        </w:rPr>
        <w:t xml:space="preserve"> à travers le Fonds d’Intervention pour le Développement (FID)</w:t>
      </w:r>
      <w:proofErr w:type="gramStart"/>
      <w:r w:rsidR="00DB1F05" w:rsidRPr="002D07B6">
        <w:rPr>
          <w:i/>
          <w:iCs/>
          <w:lang w:val="fr-FR"/>
        </w:rPr>
        <w:t xml:space="preserve">, </w:t>
      </w:r>
      <w:r w:rsidR="00FA0610" w:rsidRPr="002D07B6">
        <w:rPr>
          <w:i/>
          <w:iCs/>
          <w:lang w:val="fr-FR"/>
        </w:rPr>
        <w:t>)</w:t>
      </w:r>
      <w:proofErr w:type="gramEnd"/>
      <w:r w:rsidR="00FA0610" w:rsidRPr="002D07B6">
        <w:rPr>
          <w:i/>
          <w:iCs/>
          <w:lang w:val="fr-FR"/>
        </w:rPr>
        <w:t xml:space="preserve">, le Programme des Nations Unies pour le Développement (PNUD), l’Union Européenne, </w:t>
      </w:r>
      <w:r w:rsidR="00DB1F05" w:rsidRPr="002D07B6">
        <w:rPr>
          <w:i/>
          <w:iCs/>
          <w:lang w:val="fr-FR"/>
        </w:rPr>
        <w:t>le Programme Alimentaire Mondiale (PAM</w:t>
      </w:r>
      <w:r w:rsidR="00FA0610">
        <w:rPr>
          <w:i/>
          <w:iCs/>
          <w:lang w:val="fr-FR"/>
        </w:rPr>
        <w:t xml:space="preserve">), </w:t>
      </w:r>
      <w:r w:rsidR="00FA0610" w:rsidRPr="002D07B6">
        <w:rPr>
          <w:i/>
          <w:iCs/>
          <w:lang w:val="fr-FR"/>
        </w:rPr>
        <w:t xml:space="preserve">l’UNICEF, </w:t>
      </w:r>
      <w:r w:rsidR="003861AF" w:rsidRPr="002D07B6">
        <w:rPr>
          <w:i/>
          <w:iCs/>
          <w:lang w:val="fr-FR"/>
        </w:rPr>
        <w:t>la Croix Rouge Malagasy,</w:t>
      </w:r>
      <w:r w:rsidR="003861AF">
        <w:rPr>
          <w:i/>
          <w:iCs/>
          <w:lang w:val="fr-FR"/>
        </w:rPr>
        <w:t xml:space="preserve"> </w:t>
      </w:r>
      <w:r w:rsidR="00FA0610" w:rsidRPr="002D07B6">
        <w:rPr>
          <w:i/>
          <w:iCs/>
          <w:lang w:val="fr-FR"/>
        </w:rPr>
        <w:t>le CARE</w:t>
      </w:r>
      <w:r w:rsidR="00FA0610">
        <w:rPr>
          <w:i/>
          <w:iCs/>
          <w:lang w:val="fr-FR"/>
        </w:rPr>
        <w:t>,</w:t>
      </w:r>
      <w:r w:rsidR="00FA0610" w:rsidRPr="002D07B6">
        <w:rPr>
          <w:i/>
          <w:iCs/>
          <w:lang w:val="fr-FR"/>
        </w:rPr>
        <w:t xml:space="preserve"> </w:t>
      </w:r>
      <w:r w:rsidR="00DB1F05" w:rsidRPr="002D07B6">
        <w:rPr>
          <w:i/>
          <w:iCs/>
          <w:lang w:val="fr-FR"/>
        </w:rPr>
        <w:t xml:space="preserve">l’Action Contre la Faim pour contribuer </w:t>
      </w:r>
      <w:r w:rsidR="009C7E72" w:rsidRPr="002D07B6">
        <w:rPr>
          <w:i/>
          <w:iCs/>
          <w:lang w:val="fr-FR"/>
        </w:rPr>
        <w:t>au TOSIKA FAMENO</w:t>
      </w:r>
      <w:r w:rsidR="00DB1F05" w:rsidRPr="002D07B6">
        <w:rPr>
          <w:i/>
          <w:iCs/>
          <w:lang w:val="fr-FR"/>
        </w:rPr>
        <w:t>.</w:t>
      </w:r>
    </w:p>
    <w:p w14:paraId="6D03ABE4" w14:textId="6764223F" w:rsidR="00DB1F05" w:rsidRPr="00B806F0" w:rsidRDefault="00B806F0" w:rsidP="00B806F0">
      <w:pPr>
        <w:pStyle w:val="Heading2"/>
        <w:rPr>
          <w:i/>
          <w:iCs/>
          <w:lang w:val="fr-FR"/>
        </w:rPr>
      </w:pPr>
      <w:r w:rsidRPr="00B806F0">
        <w:rPr>
          <w:i/>
          <w:iCs/>
          <w:lang w:val="fr-FR"/>
        </w:rPr>
        <w:t>Q9. Qui met en œuvre le TOSIKA FAMENO ?</w:t>
      </w:r>
    </w:p>
    <w:p w14:paraId="033C7E3E" w14:textId="412789E5" w:rsidR="00DB1F05" w:rsidRPr="00B806F0" w:rsidRDefault="00B806F0" w:rsidP="00B806F0">
      <w:pPr>
        <w:spacing w:after="240" w:line="276" w:lineRule="auto"/>
        <w:jc w:val="both"/>
        <w:rPr>
          <w:i/>
          <w:iCs/>
          <w:lang w:val="fr-FR"/>
        </w:rPr>
      </w:pPr>
      <w:r w:rsidRPr="00B806F0">
        <w:rPr>
          <w:b/>
          <w:i/>
          <w:iCs/>
          <w:lang w:val="fr-FR"/>
        </w:rPr>
        <w:t>Réponse</w:t>
      </w:r>
      <w:r>
        <w:rPr>
          <w:bCs/>
          <w:i/>
          <w:iCs/>
          <w:lang w:val="fr-FR"/>
        </w:rPr>
        <w:t xml:space="preserve"> : </w:t>
      </w:r>
      <w:r w:rsidR="00DB1F05" w:rsidRPr="00B806F0">
        <w:rPr>
          <w:bCs/>
          <w:i/>
          <w:iCs/>
          <w:lang w:val="fr-FR"/>
        </w:rPr>
        <w:t>Le leadership de la mise en œuvre des transferts monétaires non conditionnels en réponse au Covid-19</w:t>
      </w:r>
      <w:r w:rsidR="004548F0">
        <w:rPr>
          <w:bCs/>
          <w:i/>
          <w:iCs/>
          <w:lang w:val="fr-FR"/>
        </w:rPr>
        <w:t>,</w:t>
      </w:r>
      <w:r w:rsidR="00DB1F05" w:rsidRPr="00B806F0">
        <w:rPr>
          <w:bCs/>
          <w:i/>
          <w:iCs/>
          <w:lang w:val="fr-FR"/>
        </w:rPr>
        <w:t xml:space="preserve"> </w:t>
      </w:r>
      <w:r w:rsidR="004548F0">
        <w:rPr>
          <w:bCs/>
          <w:i/>
          <w:iCs/>
          <w:lang w:val="fr-FR"/>
        </w:rPr>
        <w:t xml:space="preserve">TOSIKA FAMENO, </w:t>
      </w:r>
      <w:r w:rsidR="00DB1F05" w:rsidRPr="00B806F0">
        <w:rPr>
          <w:bCs/>
          <w:i/>
          <w:iCs/>
          <w:lang w:val="fr-FR"/>
        </w:rPr>
        <w:t>est assuré par les communes urbaines d’Antananarivo</w:t>
      </w:r>
      <w:r w:rsidR="00792884" w:rsidRPr="00B806F0">
        <w:rPr>
          <w:bCs/>
          <w:i/>
          <w:iCs/>
          <w:lang w:val="fr-FR"/>
        </w:rPr>
        <w:t xml:space="preserve">, </w:t>
      </w:r>
      <w:r w:rsidR="00DB1F05" w:rsidRPr="00B806F0">
        <w:rPr>
          <w:bCs/>
          <w:i/>
          <w:iCs/>
          <w:lang w:val="fr-FR"/>
        </w:rPr>
        <w:t>Toamasina</w:t>
      </w:r>
      <w:r w:rsidR="00792884" w:rsidRPr="00B806F0">
        <w:rPr>
          <w:bCs/>
          <w:i/>
          <w:iCs/>
          <w:lang w:val="fr-FR"/>
        </w:rPr>
        <w:t xml:space="preserve"> et Fianarantsoa</w:t>
      </w:r>
      <w:r w:rsidR="00DB1F05" w:rsidRPr="00B806F0">
        <w:rPr>
          <w:bCs/>
          <w:i/>
          <w:iCs/>
          <w:lang w:val="fr-FR"/>
        </w:rPr>
        <w:t>.</w:t>
      </w:r>
      <w:r w:rsidRPr="00B806F0">
        <w:rPr>
          <w:bCs/>
          <w:i/>
          <w:iCs/>
          <w:lang w:val="fr-FR"/>
        </w:rPr>
        <w:t xml:space="preserve"> </w:t>
      </w:r>
      <w:r w:rsidR="00DB1F05" w:rsidRPr="00B806F0">
        <w:rPr>
          <w:i/>
          <w:iCs/>
          <w:lang w:val="fr-FR"/>
        </w:rPr>
        <w:t>Le FID</w:t>
      </w:r>
      <w:r w:rsidR="00350397">
        <w:rPr>
          <w:i/>
          <w:iCs/>
          <w:lang w:val="fr-FR"/>
        </w:rPr>
        <w:t xml:space="preserve"> et le PAM</w:t>
      </w:r>
      <w:r w:rsidR="00DB1F05" w:rsidRPr="00B806F0">
        <w:rPr>
          <w:i/>
          <w:iCs/>
          <w:lang w:val="fr-FR"/>
        </w:rPr>
        <w:t>, avec l’appui des PTF, assure</w:t>
      </w:r>
      <w:r w:rsidR="00350397">
        <w:rPr>
          <w:i/>
          <w:iCs/>
          <w:lang w:val="fr-FR"/>
        </w:rPr>
        <w:t>nt</w:t>
      </w:r>
      <w:r w:rsidR="00DB1F05" w:rsidRPr="00B806F0">
        <w:rPr>
          <w:i/>
          <w:iCs/>
          <w:lang w:val="fr-FR"/>
        </w:rPr>
        <w:t xml:space="preserve"> la réalisation du ciblage, l’enregistrement, le suivi des paiements des transferts aux ménages ciblés par les </w:t>
      </w:r>
      <w:r w:rsidR="00792884" w:rsidRPr="00B806F0">
        <w:rPr>
          <w:i/>
          <w:iCs/>
          <w:lang w:val="fr-FR"/>
        </w:rPr>
        <w:t>trois</w:t>
      </w:r>
      <w:r w:rsidR="00DB1F05" w:rsidRPr="00B806F0">
        <w:rPr>
          <w:i/>
          <w:iCs/>
          <w:lang w:val="fr-FR"/>
        </w:rPr>
        <w:t xml:space="preserve"> communes urbaines et consignées dans des listes définitives qu’elles transmettront au préalable à ces premiers. Le FID et les PTF apportent également leur appui dans le cadre de la gestion des plaintes mise en place par les communes urbaines.</w:t>
      </w:r>
    </w:p>
    <w:p w14:paraId="2BD6BC36" w14:textId="41AFF9EC" w:rsidR="001D07D6" w:rsidRPr="0078698D" w:rsidRDefault="00B806F0" w:rsidP="00AB000C">
      <w:pPr>
        <w:pStyle w:val="Heading2"/>
        <w:jc w:val="both"/>
        <w:rPr>
          <w:i/>
          <w:iCs/>
          <w:lang w:val="fr-FR"/>
        </w:rPr>
      </w:pPr>
      <w:r w:rsidRPr="0078698D">
        <w:rPr>
          <w:i/>
          <w:iCs/>
          <w:lang w:val="fr-FR"/>
        </w:rPr>
        <w:t xml:space="preserve">Q10. </w:t>
      </w:r>
      <w:r w:rsidR="0078698D" w:rsidRPr="0078698D">
        <w:rPr>
          <w:i/>
          <w:iCs/>
          <w:lang w:val="fr-FR"/>
        </w:rPr>
        <w:t xml:space="preserve">A l’instar de la distribution des dons alimentaires, si des ménages se sentent lésés et veulent se plaindre, comment leurs cas </w:t>
      </w:r>
      <w:proofErr w:type="spellStart"/>
      <w:r w:rsidR="0078698D" w:rsidRPr="0078698D">
        <w:rPr>
          <w:i/>
          <w:iCs/>
          <w:lang w:val="fr-FR"/>
        </w:rPr>
        <w:t>seront-ils</w:t>
      </w:r>
      <w:proofErr w:type="spellEnd"/>
      <w:r w:rsidR="0078698D" w:rsidRPr="0078698D">
        <w:rPr>
          <w:i/>
          <w:iCs/>
          <w:lang w:val="fr-FR"/>
        </w:rPr>
        <w:t xml:space="preserve"> pris en compte ? </w:t>
      </w:r>
    </w:p>
    <w:p w14:paraId="272373AA" w14:textId="36B8028F" w:rsidR="00BD0932" w:rsidRPr="00AB000C" w:rsidRDefault="00DA3F5D" w:rsidP="00AB000C">
      <w:pPr>
        <w:spacing w:after="160" w:line="259" w:lineRule="auto"/>
        <w:jc w:val="both"/>
        <w:rPr>
          <w:i/>
          <w:iCs/>
          <w:lang w:val="fr-FR"/>
        </w:rPr>
      </w:pPr>
      <w:r w:rsidRPr="00DA3F5D">
        <w:rPr>
          <w:b/>
          <w:bCs/>
          <w:i/>
          <w:iCs/>
          <w:lang w:val="fr-FR"/>
        </w:rPr>
        <w:t>Réponse</w:t>
      </w:r>
      <w:r>
        <w:rPr>
          <w:i/>
          <w:iCs/>
          <w:lang w:val="fr-FR"/>
        </w:rPr>
        <w:t xml:space="preserve"> : </w:t>
      </w:r>
      <w:r w:rsidRPr="00DA3F5D">
        <w:rPr>
          <w:i/>
          <w:iCs/>
          <w:lang w:val="fr-FR"/>
        </w:rPr>
        <w:t>Un système de réception des plaintes est mis en place dans le cadre du TOSIKA FAMENO. Une</w:t>
      </w:r>
      <w:r w:rsidR="0078698D" w:rsidRPr="00DA3F5D">
        <w:rPr>
          <w:i/>
          <w:iCs/>
          <w:lang w:val="fr-FR"/>
        </w:rPr>
        <w:t xml:space="preserve"> structure est à disposition pour recevoir et traiter les plaintes</w:t>
      </w:r>
      <w:r w:rsidRPr="00DA3F5D">
        <w:rPr>
          <w:i/>
          <w:iCs/>
          <w:lang w:val="fr-FR"/>
        </w:rPr>
        <w:t xml:space="preserve">. </w:t>
      </w:r>
      <w:r w:rsidR="00BD0932" w:rsidRPr="00AB000C">
        <w:rPr>
          <w:i/>
          <w:iCs/>
          <w:lang w:val="fr-FR"/>
        </w:rPr>
        <w:t>Les ménages candidats et bénéficiaires ainsi que tous citoyens pourront avoir accès à différents dispositifs de gestion des plaintes : soit au niveau des communes soit au niveau des fokontany (</w:t>
      </w:r>
      <w:r w:rsidR="00B81589">
        <w:rPr>
          <w:i/>
          <w:iCs/>
          <w:lang w:val="fr-FR"/>
        </w:rPr>
        <w:t xml:space="preserve">à travers les </w:t>
      </w:r>
      <w:r w:rsidR="00BD0932" w:rsidRPr="00AB000C">
        <w:rPr>
          <w:i/>
          <w:iCs/>
          <w:lang w:val="fr-FR"/>
        </w:rPr>
        <w:t>boites de doléances), (</w:t>
      </w:r>
      <w:r w:rsidR="00B81589">
        <w:rPr>
          <w:i/>
          <w:iCs/>
          <w:lang w:val="fr-FR"/>
        </w:rPr>
        <w:t xml:space="preserve">en remplissant des </w:t>
      </w:r>
      <w:r w:rsidR="00BD0932" w:rsidRPr="00AB000C">
        <w:rPr>
          <w:i/>
          <w:iCs/>
          <w:lang w:val="fr-FR"/>
        </w:rPr>
        <w:t xml:space="preserve">formulaires ou </w:t>
      </w:r>
      <w:r w:rsidR="00B81589">
        <w:rPr>
          <w:i/>
          <w:iCs/>
          <w:lang w:val="fr-FR"/>
        </w:rPr>
        <w:t>par le biais d’</w:t>
      </w:r>
      <w:r w:rsidR="00BD0932" w:rsidRPr="00AB000C">
        <w:rPr>
          <w:i/>
          <w:iCs/>
          <w:lang w:val="fr-FR"/>
        </w:rPr>
        <w:t>enregistrement par écrit).</w:t>
      </w:r>
    </w:p>
    <w:p w14:paraId="26693D11" w14:textId="77777777" w:rsidR="00B81589" w:rsidRPr="00DA3F5D" w:rsidRDefault="00B81589" w:rsidP="00DC2065">
      <w:pPr>
        <w:spacing w:after="160" w:line="259" w:lineRule="auto"/>
        <w:jc w:val="both"/>
        <w:rPr>
          <w:i/>
          <w:iCs/>
          <w:lang w:val="fr-FR"/>
        </w:rPr>
      </w:pPr>
    </w:p>
    <w:p w14:paraId="554977F2" w14:textId="1A238A9A" w:rsidR="009E132F" w:rsidRPr="00F45808" w:rsidRDefault="009E132F" w:rsidP="00AB000C">
      <w:pPr>
        <w:jc w:val="both"/>
        <w:rPr>
          <w:i/>
          <w:iCs/>
          <w:lang w:val="fr-FR"/>
        </w:rPr>
      </w:pPr>
    </w:p>
    <w:sectPr w:rsidR="009E132F" w:rsidRPr="00F45808" w:rsidSect="00AB000C">
      <w:headerReference w:type="default" r:id="rId11"/>
      <w:footerReference w:type="default" r:id="rId12"/>
      <w:pgSz w:w="12240" w:h="15840"/>
      <w:pgMar w:top="1560" w:right="900" w:bottom="426" w:left="1332" w:header="850" w:footer="25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27D70" w14:textId="77777777" w:rsidR="00FC7D0E" w:rsidRDefault="00FC7D0E" w:rsidP="0091730A">
      <w:r>
        <w:separator/>
      </w:r>
    </w:p>
  </w:endnote>
  <w:endnote w:type="continuationSeparator" w:id="0">
    <w:p w14:paraId="709DFF7C" w14:textId="77777777" w:rsidR="00FC7D0E" w:rsidRDefault="00FC7D0E" w:rsidP="0091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25" w:type="dxa"/>
      <w:tblBorders>
        <w:top w:val="nil"/>
        <w:left w:val="nil"/>
        <w:bottom w:val="nil"/>
        <w:right w:val="nil"/>
        <w:insideH w:val="nil"/>
        <w:insideV w:val="nil"/>
      </w:tblBorders>
      <w:tblLayout w:type="fixed"/>
      <w:tblLook w:val="0400" w:firstRow="0" w:lastRow="0" w:firstColumn="0" w:lastColumn="0" w:noHBand="0" w:noVBand="1"/>
    </w:tblPr>
    <w:tblGrid>
      <w:gridCol w:w="1476"/>
      <w:gridCol w:w="1249"/>
      <w:gridCol w:w="1250"/>
      <w:gridCol w:w="1250"/>
      <w:gridCol w:w="1250"/>
      <w:gridCol w:w="1250"/>
      <w:gridCol w:w="1250"/>
      <w:gridCol w:w="1250"/>
    </w:tblGrid>
    <w:tr w:rsidR="008C5CF8" w14:paraId="4C4B0DE8" w14:textId="77777777" w:rsidTr="00CB4C9F">
      <w:tc>
        <w:tcPr>
          <w:tcW w:w="1476" w:type="dxa"/>
        </w:tcPr>
        <w:p w14:paraId="383F3032" w14:textId="375E013B" w:rsidR="008C5CF8" w:rsidRDefault="008C5CF8"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702272" behindDoc="0" locked="0" layoutInCell="1" allowOverlap="1" wp14:anchorId="2C61F2BD" wp14:editId="128030E1">
                <wp:simplePos x="0" y="0"/>
                <wp:positionH relativeFrom="column">
                  <wp:posOffset>6350</wp:posOffset>
                </wp:positionH>
                <wp:positionV relativeFrom="paragraph">
                  <wp:posOffset>313690</wp:posOffset>
                </wp:positionV>
                <wp:extent cx="800100" cy="132715"/>
                <wp:effectExtent l="0" t="0" r="0" b="635"/>
                <wp:wrapSquare wrapText="bothSides"/>
                <wp:docPr id="2"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B_F-WBG-Horizontal-RGB-high.jpg"/>
                        <pic:cNvPicPr/>
                      </pic:nvPicPr>
                      <pic:blipFill>
                        <a:blip r:embed="rId1">
                          <a:extLst>
                            <a:ext uri="{28A0092B-C50C-407E-A947-70E740481C1C}">
                              <a14:useLocalDpi xmlns:a14="http://schemas.microsoft.com/office/drawing/2010/main" val="0"/>
                            </a:ext>
                          </a:extLst>
                        </a:blip>
                        <a:stretch>
                          <a:fillRect/>
                        </a:stretch>
                      </pic:blipFill>
                      <pic:spPr>
                        <a:xfrm>
                          <a:off x="0" y="0"/>
                          <a:ext cx="800100" cy="132715"/>
                        </a:xfrm>
                        <a:prstGeom prst="rect">
                          <a:avLst/>
                        </a:prstGeom>
                      </pic:spPr>
                    </pic:pic>
                  </a:graphicData>
                </a:graphic>
                <wp14:sizeRelH relativeFrom="margin">
                  <wp14:pctWidth>0</wp14:pctWidth>
                </wp14:sizeRelH>
                <wp14:sizeRelV relativeFrom="margin">
                  <wp14:pctHeight>0</wp14:pctHeight>
                </wp14:sizeRelV>
              </wp:anchor>
            </w:drawing>
          </w:r>
        </w:p>
      </w:tc>
      <w:tc>
        <w:tcPr>
          <w:tcW w:w="1249" w:type="dxa"/>
        </w:tcPr>
        <w:p w14:paraId="6B28CC1F" w14:textId="4ADDEB2E" w:rsidR="008C5CF8" w:rsidRDefault="0026070A"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4080" behindDoc="0" locked="0" layoutInCell="1" hidden="0" allowOverlap="1" wp14:anchorId="78003ECB" wp14:editId="09B8E680">
                <wp:simplePos x="0" y="0"/>
                <wp:positionH relativeFrom="column">
                  <wp:posOffset>114300</wp:posOffset>
                </wp:positionH>
                <wp:positionV relativeFrom="paragraph">
                  <wp:posOffset>267970</wp:posOffset>
                </wp:positionV>
                <wp:extent cx="610235" cy="263525"/>
                <wp:effectExtent l="0" t="0" r="0" b="0"/>
                <wp:wrapSquare wrapText="bothSides" distT="0" distB="0" distL="114300" distR="114300"/>
                <wp:docPr id="13" name="image1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automatically generated"/>
                        <pic:cNvPicPr preferRelativeResize="0"/>
                      </pic:nvPicPr>
                      <pic:blipFill>
                        <a:blip r:embed="rId2"/>
                        <a:srcRect/>
                        <a:stretch>
                          <a:fillRect/>
                        </a:stretch>
                      </pic:blipFill>
                      <pic:spPr>
                        <a:xfrm>
                          <a:off x="0" y="0"/>
                          <a:ext cx="610235" cy="263525"/>
                        </a:xfrm>
                        <a:prstGeom prst="rect">
                          <a:avLst/>
                        </a:prstGeom>
                        <a:ln/>
                      </pic:spPr>
                    </pic:pic>
                  </a:graphicData>
                </a:graphic>
              </wp:anchor>
            </w:drawing>
          </w:r>
        </w:p>
      </w:tc>
      <w:tc>
        <w:tcPr>
          <w:tcW w:w="1250" w:type="dxa"/>
        </w:tcPr>
        <w:p w14:paraId="172BB8ED" w14:textId="6CD9D2B7" w:rsidR="008C5CF8" w:rsidRDefault="0026070A"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7152" behindDoc="0" locked="0" layoutInCell="1" hidden="0" allowOverlap="1" wp14:anchorId="6C01CE0D" wp14:editId="623644A6">
                <wp:simplePos x="0" y="0"/>
                <wp:positionH relativeFrom="column">
                  <wp:posOffset>185420</wp:posOffset>
                </wp:positionH>
                <wp:positionV relativeFrom="paragraph">
                  <wp:posOffset>223520</wp:posOffset>
                </wp:positionV>
                <wp:extent cx="504190" cy="336550"/>
                <wp:effectExtent l="0" t="0" r="0" b="0"/>
                <wp:wrapSquare wrapText="bothSides" distT="0" distB="0" distL="114300" distR="114300"/>
                <wp:docPr id="11" name="image7.jpg" descr="A picture containing flower, sun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flower, sunflower&#10;&#10;Description automatically generated"/>
                        <pic:cNvPicPr preferRelativeResize="0"/>
                      </pic:nvPicPr>
                      <pic:blipFill>
                        <a:blip r:embed="rId3"/>
                        <a:srcRect/>
                        <a:stretch>
                          <a:fillRect/>
                        </a:stretch>
                      </pic:blipFill>
                      <pic:spPr>
                        <a:xfrm>
                          <a:off x="0" y="0"/>
                          <a:ext cx="504190" cy="336550"/>
                        </a:xfrm>
                        <a:prstGeom prst="rect">
                          <a:avLst/>
                        </a:prstGeom>
                        <a:ln/>
                      </pic:spPr>
                    </pic:pic>
                  </a:graphicData>
                </a:graphic>
              </wp:anchor>
            </w:drawing>
          </w:r>
        </w:p>
      </w:tc>
      <w:tc>
        <w:tcPr>
          <w:tcW w:w="1250" w:type="dxa"/>
        </w:tcPr>
        <w:p w14:paraId="036212B9" w14:textId="7B75A735" w:rsidR="008C5CF8" w:rsidRDefault="0026070A"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6128" behindDoc="0" locked="0" layoutInCell="1" hidden="0" allowOverlap="1" wp14:anchorId="7750D45D" wp14:editId="11B8C36E">
                <wp:simplePos x="0" y="0"/>
                <wp:positionH relativeFrom="column">
                  <wp:posOffset>288925</wp:posOffset>
                </wp:positionH>
                <wp:positionV relativeFrom="paragraph">
                  <wp:posOffset>163195</wp:posOffset>
                </wp:positionV>
                <wp:extent cx="209550" cy="497840"/>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descr="A picture containing drawing&#10;&#10;Description automatically generated"/>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209550" cy="497840"/>
                        </a:xfrm>
                        <a:prstGeom prst="rect">
                          <a:avLst/>
                        </a:prstGeom>
                        <a:ln/>
                      </pic:spPr>
                    </pic:pic>
                  </a:graphicData>
                </a:graphic>
              </wp:anchor>
            </w:drawing>
          </w:r>
        </w:p>
      </w:tc>
      <w:tc>
        <w:tcPr>
          <w:tcW w:w="1250" w:type="dxa"/>
        </w:tcPr>
        <w:p w14:paraId="647506A4" w14:textId="77777777" w:rsidR="008C5CF8" w:rsidRDefault="008C5CF8"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5104" behindDoc="0" locked="0" layoutInCell="1" hidden="0" allowOverlap="1" wp14:anchorId="11E15F45" wp14:editId="0E10A659">
                <wp:simplePos x="0" y="0"/>
                <wp:positionH relativeFrom="column">
                  <wp:posOffset>-4445</wp:posOffset>
                </wp:positionH>
                <wp:positionV relativeFrom="paragraph">
                  <wp:posOffset>206375</wp:posOffset>
                </wp:positionV>
                <wp:extent cx="603250" cy="327025"/>
                <wp:effectExtent l="0" t="0" r="0" b="0"/>
                <wp:wrapSquare wrapText="bothSides" distT="0" distB="0" distL="114300" distR="114300"/>
                <wp:docPr id="14" name="image6.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drawing&#10;&#10;Description automatically generated"/>
                        <pic:cNvPicPr preferRelativeResize="0"/>
                      </pic:nvPicPr>
                      <pic:blipFill>
                        <a:blip r:embed="rId5"/>
                        <a:srcRect/>
                        <a:stretch>
                          <a:fillRect/>
                        </a:stretch>
                      </pic:blipFill>
                      <pic:spPr>
                        <a:xfrm>
                          <a:off x="0" y="0"/>
                          <a:ext cx="603250" cy="327025"/>
                        </a:xfrm>
                        <a:prstGeom prst="rect">
                          <a:avLst/>
                        </a:prstGeom>
                        <a:ln/>
                      </pic:spPr>
                    </pic:pic>
                  </a:graphicData>
                </a:graphic>
              </wp:anchor>
            </w:drawing>
          </w:r>
        </w:p>
      </w:tc>
      <w:tc>
        <w:tcPr>
          <w:tcW w:w="1250" w:type="dxa"/>
        </w:tcPr>
        <w:p w14:paraId="788CADB2" w14:textId="77777777" w:rsidR="008C5CF8" w:rsidRDefault="008C5CF8"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700224" behindDoc="0" locked="0" layoutInCell="1" hidden="0" allowOverlap="1" wp14:anchorId="2FCA545D" wp14:editId="001337D3">
                <wp:simplePos x="0" y="0"/>
                <wp:positionH relativeFrom="column">
                  <wp:posOffset>48260</wp:posOffset>
                </wp:positionH>
                <wp:positionV relativeFrom="paragraph">
                  <wp:posOffset>164465</wp:posOffset>
                </wp:positionV>
                <wp:extent cx="438150" cy="412750"/>
                <wp:effectExtent l="0" t="0" r="0" b="0"/>
                <wp:wrapSquare wrapText="bothSides" distT="0" distB="0" distL="114300" distR="114300"/>
                <wp:docPr id="4" name="image2.jpg" descr="A picture containing objec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object, drawing&#10;&#10;Description automatically generated"/>
                        <pic:cNvPicPr preferRelativeResize="0"/>
                      </pic:nvPicPr>
                      <pic:blipFill>
                        <a:blip r:embed="rId6"/>
                        <a:srcRect/>
                        <a:stretch>
                          <a:fillRect/>
                        </a:stretch>
                      </pic:blipFill>
                      <pic:spPr>
                        <a:xfrm>
                          <a:off x="0" y="0"/>
                          <a:ext cx="438150" cy="412750"/>
                        </a:xfrm>
                        <a:prstGeom prst="rect">
                          <a:avLst/>
                        </a:prstGeom>
                        <a:ln/>
                      </pic:spPr>
                    </pic:pic>
                  </a:graphicData>
                </a:graphic>
              </wp:anchor>
            </w:drawing>
          </w:r>
        </w:p>
      </w:tc>
      <w:tc>
        <w:tcPr>
          <w:tcW w:w="1250" w:type="dxa"/>
        </w:tcPr>
        <w:p w14:paraId="47F089FD" w14:textId="77777777" w:rsidR="008C5CF8" w:rsidRDefault="008C5CF8"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9200" behindDoc="0" locked="0" layoutInCell="1" hidden="0" allowOverlap="1" wp14:anchorId="7C514A6D" wp14:editId="55A14151">
                <wp:simplePos x="0" y="0"/>
                <wp:positionH relativeFrom="column">
                  <wp:posOffset>175260</wp:posOffset>
                </wp:positionH>
                <wp:positionV relativeFrom="paragraph">
                  <wp:posOffset>208915</wp:posOffset>
                </wp:positionV>
                <wp:extent cx="311150" cy="389255"/>
                <wp:effectExtent l="0" t="0" r="0" b="0"/>
                <wp:wrapSquare wrapText="bothSides" distT="0" distB="0" distL="114300" distR="114300"/>
                <wp:docPr id="15" name="image1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lose up of a logo&#10;&#10;Description automatically generated"/>
                        <pic:cNvPicPr preferRelativeResize="0"/>
                      </pic:nvPicPr>
                      <pic:blipFill>
                        <a:blip r:embed="rId7"/>
                        <a:srcRect/>
                        <a:stretch>
                          <a:fillRect/>
                        </a:stretch>
                      </pic:blipFill>
                      <pic:spPr>
                        <a:xfrm>
                          <a:off x="0" y="0"/>
                          <a:ext cx="311150" cy="389255"/>
                        </a:xfrm>
                        <a:prstGeom prst="rect">
                          <a:avLst/>
                        </a:prstGeom>
                        <a:ln/>
                      </pic:spPr>
                    </pic:pic>
                  </a:graphicData>
                </a:graphic>
              </wp:anchor>
            </w:drawing>
          </w:r>
        </w:p>
      </w:tc>
      <w:tc>
        <w:tcPr>
          <w:tcW w:w="1250" w:type="dxa"/>
        </w:tcPr>
        <w:p w14:paraId="71EA805B" w14:textId="77777777" w:rsidR="008C5CF8" w:rsidRDefault="008C5CF8" w:rsidP="008C5CF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98176" behindDoc="0" locked="0" layoutInCell="1" hidden="0" allowOverlap="1" wp14:anchorId="2653A282" wp14:editId="718E2625">
                <wp:simplePos x="0" y="0"/>
                <wp:positionH relativeFrom="column">
                  <wp:posOffset>45720</wp:posOffset>
                </wp:positionH>
                <wp:positionV relativeFrom="paragraph">
                  <wp:posOffset>100330</wp:posOffset>
                </wp:positionV>
                <wp:extent cx="587375" cy="377825"/>
                <wp:effectExtent l="0" t="0" r="0" b="0"/>
                <wp:wrapSquare wrapText="bothSides" distT="0" distB="0" distL="114300" distR="114300"/>
                <wp:docPr id="1"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10;&#10;Description automatically generated"/>
                        <pic:cNvPicPr preferRelativeResize="0"/>
                      </pic:nvPicPr>
                      <pic:blipFill>
                        <a:blip r:embed="rId8"/>
                        <a:srcRect/>
                        <a:stretch>
                          <a:fillRect/>
                        </a:stretch>
                      </pic:blipFill>
                      <pic:spPr>
                        <a:xfrm>
                          <a:off x="0" y="0"/>
                          <a:ext cx="587375" cy="377825"/>
                        </a:xfrm>
                        <a:prstGeom prst="rect">
                          <a:avLst/>
                        </a:prstGeom>
                        <a:ln/>
                      </pic:spPr>
                    </pic:pic>
                  </a:graphicData>
                </a:graphic>
              </wp:anchor>
            </w:drawing>
          </w:r>
        </w:p>
      </w:tc>
    </w:tr>
  </w:tbl>
  <w:p w14:paraId="22738525" w14:textId="2F0AC5BA" w:rsidR="00527A60" w:rsidRPr="00AB000C" w:rsidRDefault="00527A60">
    <w:pPr>
      <w:pStyle w:val="Footer"/>
      <w:jc w:val="center"/>
      <w:rPr>
        <w:caps/>
        <w:color w:val="000000" w:themeColor="text1"/>
        <w:sz w:val="20"/>
        <w:szCs w:val="20"/>
      </w:rPr>
    </w:pPr>
    <w:r w:rsidRPr="00AB000C">
      <w:rPr>
        <w:caps/>
        <w:color w:val="000000" w:themeColor="text1"/>
        <w:sz w:val="20"/>
        <w:szCs w:val="20"/>
      </w:rPr>
      <w:fldChar w:fldCharType="begin"/>
    </w:r>
    <w:r w:rsidRPr="00AB000C">
      <w:rPr>
        <w:caps/>
        <w:color w:val="000000" w:themeColor="text1"/>
        <w:sz w:val="20"/>
        <w:szCs w:val="20"/>
      </w:rPr>
      <w:instrText>PAGE   \* MERGEFORMAT</w:instrText>
    </w:r>
    <w:r w:rsidRPr="00AB000C">
      <w:rPr>
        <w:caps/>
        <w:color w:val="000000" w:themeColor="text1"/>
        <w:sz w:val="20"/>
        <w:szCs w:val="20"/>
      </w:rPr>
      <w:fldChar w:fldCharType="separate"/>
    </w:r>
    <w:r w:rsidRPr="00AB000C">
      <w:rPr>
        <w:caps/>
        <w:color w:val="000000" w:themeColor="text1"/>
        <w:sz w:val="20"/>
        <w:szCs w:val="20"/>
        <w:lang w:val="fr-FR"/>
      </w:rPr>
      <w:t>2</w:t>
    </w:r>
    <w:r w:rsidRPr="00AB000C">
      <w:rPr>
        <w:caps/>
        <w:color w:val="000000" w:themeColor="text1"/>
        <w:sz w:val="20"/>
        <w:szCs w:val="20"/>
      </w:rPr>
      <w:fldChar w:fldCharType="end"/>
    </w:r>
  </w:p>
  <w:p w14:paraId="249D7BC8" w14:textId="77777777" w:rsidR="0006390F" w:rsidRPr="005D3B9F" w:rsidRDefault="00651E5F" w:rsidP="005D3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929A6" w14:textId="77777777" w:rsidR="00FC7D0E" w:rsidRDefault="00FC7D0E" w:rsidP="0091730A">
      <w:r>
        <w:separator/>
      </w:r>
    </w:p>
  </w:footnote>
  <w:footnote w:type="continuationSeparator" w:id="0">
    <w:p w14:paraId="1CA22126" w14:textId="77777777" w:rsidR="00FC7D0E" w:rsidRDefault="00FC7D0E" w:rsidP="00917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726"/>
      <w:gridCol w:w="1286"/>
      <w:gridCol w:w="1349"/>
      <w:gridCol w:w="1418"/>
      <w:gridCol w:w="1268"/>
      <w:gridCol w:w="1275"/>
    </w:tblGrid>
    <w:tr w:rsidR="004E42C1" w14:paraId="44248F8F" w14:textId="77777777" w:rsidTr="004E42C1">
      <w:tc>
        <w:tcPr>
          <w:tcW w:w="1428" w:type="dxa"/>
        </w:tcPr>
        <w:p w14:paraId="12A00D97" w14:textId="1642D9AA" w:rsidR="005D3B9F" w:rsidRDefault="00926081" w:rsidP="005D3B9F">
          <w:pPr>
            <w:pStyle w:val="Header"/>
          </w:pPr>
          <w:r>
            <w:rPr>
              <w:noProof/>
            </w:rPr>
            <w:drawing>
              <wp:anchor distT="0" distB="0" distL="114300" distR="114300" simplePos="0" relativeHeight="251661312" behindDoc="0" locked="0" layoutInCell="1" allowOverlap="1" wp14:anchorId="1DA50515" wp14:editId="236FD15F">
                <wp:simplePos x="0" y="0"/>
                <wp:positionH relativeFrom="column">
                  <wp:posOffset>22225</wp:posOffset>
                </wp:positionH>
                <wp:positionV relativeFrom="paragraph">
                  <wp:posOffset>139700</wp:posOffset>
                </wp:positionV>
                <wp:extent cx="933450" cy="509270"/>
                <wp:effectExtent l="0" t="0" r="0" b="508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1">
                          <a:extLst>
                            <a:ext uri="{28A0092B-C50C-407E-A947-70E740481C1C}">
                              <a14:useLocalDpi xmlns:a14="http://schemas.microsoft.com/office/drawing/2010/main" val="0"/>
                            </a:ext>
                          </a:extLst>
                        </a:blip>
                        <a:stretch>
                          <a:fillRect/>
                        </a:stretch>
                      </pic:blipFill>
                      <pic:spPr>
                        <a:xfrm>
                          <a:off x="0" y="0"/>
                          <a:ext cx="933450" cy="509270"/>
                        </a:xfrm>
                        <a:prstGeom prst="rect">
                          <a:avLst/>
                        </a:prstGeom>
                      </pic:spPr>
                    </pic:pic>
                  </a:graphicData>
                </a:graphic>
                <wp14:sizeRelH relativeFrom="margin">
                  <wp14:pctWidth>0</wp14:pctWidth>
                </wp14:sizeRelH>
                <wp14:sizeRelV relativeFrom="margin">
                  <wp14:pctHeight>0</wp14:pctHeight>
                </wp14:sizeRelV>
              </wp:anchor>
            </w:drawing>
          </w:r>
        </w:p>
      </w:tc>
      <w:tc>
        <w:tcPr>
          <w:tcW w:w="1428" w:type="dxa"/>
        </w:tcPr>
        <w:p w14:paraId="213621B7" w14:textId="52D3C6E5" w:rsidR="005D3B9F" w:rsidRDefault="00E731AC" w:rsidP="005D3B9F">
          <w:pPr>
            <w:pStyle w:val="Header"/>
          </w:pPr>
          <w:r>
            <w:rPr>
              <w:noProof/>
            </w:rPr>
            <w:drawing>
              <wp:anchor distT="0" distB="0" distL="114300" distR="114300" simplePos="0" relativeHeight="251662336" behindDoc="0" locked="0" layoutInCell="1" allowOverlap="1" wp14:anchorId="21822685" wp14:editId="71ECD128">
                <wp:simplePos x="0" y="0"/>
                <wp:positionH relativeFrom="column">
                  <wp:posOffset>12700</wp:posOffset>
                </wp:positionH>
                <wp:positionV relativeFrom="paragraph">
                  <wp:posOffset>330200</wp:posOffset>
                </wp:positionV>
                <wp:extent cx="958850" cy="245110"/>
                <wp:effectExtent l="0" t="0" r="0" b="2540"/>
                <wp:wrapSquare wrapText="bothSides"/>
                <wp:docPr id="68"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PPSPF.jpg"/>
                        <pic:cNvPicPr/>
                      </pic:nvPicPr>
                      <pic:blipFill>
                        <a:blip r:embed="rId2">
                          <a:extLst>
                            <a:ext uri="{28A0092B-C50C-407E-A947-70E740481C1C}">
                              <a14:useLocalDpi xmlns:a14="http://schemas.microsoft.com/office/drawing/2010/main" val="0"/>
                            </a:ext>
                          </a:extLst>
                        </a:blip>
                        <a:stretch>
                          <a:fillRect/>
                        </a:stretch>
                      </pic:blipFill>
                      <pic:spPr>
                        <a:xfrm>
                          <a:off x="0" y="0"/>
                          <a:ext cx="958850" cy="245110"/>
                        </a:xfrm>
                        <a:prstGeom prst="rect">
                          <a:avLst/>
                        </a:prstGeom>
                      </pic:spPr>
                    </pic:pic>
                  </a:graphicData>
                </a:graphic>
                <wp14:sizeRelH relativeFrom="margin">
                  <wp14:pctWidth>0</wp14:pctWidth>
                </wp14:sizeRelH>
                <wp14:sizeRelV relativeFrom="margin">
                  <wp14:pctHeight>0</wp14:pctHeight>
                </wp14:sizeRelV>
              </wp:anchor>
            </w:drawing>
          </w:r>
        </w:p>
      </w:tc>
      <w:tc>
        <w:tcPr>
          <w:tcW w:w="1428" w:type="dxa"/>
        </w:tcPr>
        <w:p w14:paraId="34B82460" w14:textId="62FD5F34" w:rsidR="005D3B9F" w:rsidRDefault="00A03091" w:rsidP="005D3B9F">
          <w:pPr>
            <w:pStyle w:val="Header"/>
          </w:pPr>
          <w:r>
            <w:rPr>
              <w:noProof/>
            </w:rPr>
            <w:drawing>
              <wp:anchor distT="0" distB="0" distL="114300" distR="114300" simplePos="0" relativeHeight="251663360" behindDoc="0" locked="0" layoutInCell="1" allowOverlap="1" wp14:anchorId="2D3A49E6" wp14:editId="5A489867">
                <wp:simplePos x="0" y="0"/>
                <wp:positionH relativeFrom="column">
                  <wp:posOffset>144145</wp:posOffset>
                </wp:positionH>
                <wp:positionV relativeFrom="paragraph">
                  <wp:posOffset>139700</wp:posOffset>
                </wp:positionV>
                <wp:extent cx="482600" cy="650875"/>
                <wp:effectExtent l="0" t="0" r="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NGRC Logo.jpg"/>
                        <pic:cNvPicPr/>
                      </pic:nvPicPr>
                      <pic:blipFill>
                        <a:blip r:embed="rId3">
                          <a:extLst>
                            <a:ext uri="{28A0092B-C50C-407E-A947-70E740481C1C}">
                              <a14:useLocalDpi xmlns:a14="http://schemas.microsoft.com/office/drawing/2010/main" val="0"/>
                            </a:ext>
                          </a:extLst>
                        </a:blip>
                        <a:stretch>
                          <a:fillRect/>
                        </a:stretch>
                      </pic:blipFill>
                      <pic:spPr>
                        <a:xfrm>
                          <a:off x="0" y="0"/>
                          <a:ext cx="482600" cy="650875"/>
                        </a:xfrm>
                        <a:prstGeom prst="rect">
                          <a:avLst/>
                        </a:prstGeom>
                      </pic:spPr>
                    </pic:pic>
                  </a:graphicData>
                </a:graphic>
                <wp14:sizeRelH relativeFrom="margin">
                  <wp14:pctWidth>0</wp14:pctWidth>
                </wp14:sizeRelH>
                <wp14:sizeRelV relativeFrom="margin">
                  <wp14:pctHeight>0</wp14:pctHeight>
                </wp14:sizeRelV>
              </wp:anchor>
            </w:drawing>
          </w:r>
        </w:p>
      </w:tc>
      <w:tc>
        <w:tcPr>
          <w:tcW w:w="1428" w:type="dxa"/>
        </w:tcPr>
        <w:p w14:paraId="175847E0" w14:textId="296E66FA" w:rsidR="005D3B9F" w:rsidRDefault="004E42C1" w:rsidP="005D3B9F">
          <w:pPr>
            <w:pStyle w:val="Header"/>
          </w:pPr>
          <w:r>
            <w:rPr>
              <w:noProof/>
            </w:rPr>
            <w:drawing>
              <wp:anchor distT="0" distB="0" distL="114300" distR="114300" simplePos="0" relativeHeight="251664384" behindDoc="0" locked="0" layoutInCell="1" allowOverlap="1" wp14:anchorId="0B715BE4" wp14:editId="786319C9">
                <wp:simplePos x="0" y="0"/>
                <wp:positionH relativeFrom="column">
                  <wp:posOffset>72390</wp:posOffset>
                </wp:positionH>
                <wp:positionV relativeFrom="paragraph">
                  <wp:posOffset>146050</wp:posOffset>
                </wp:positionV>
                <wp:extent cx="600075" cy="603250"/>
                <wp:effectExtent l="0" t="0" r="9525" b="6350"/>
                <wp:wrapSquare wrapText="bothSides"/>
                <wp:docPr id="70"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ign.png"/>
                        <pic:cNvPicPr/>
                      </pic:nvPicPr>
                      <pic:blipFill>
                        <a:blip r:embed="rId4">
                          <a:extLst>
                            <a:ext uri="{28A0092B-C50C-407E-A947-70E740481C1C}">
                              <a14:useLocalDpi xmlns:a14="http://schemas.microsoft.com/office/drawing/2010/main" val="0"/>
                            </a:ext>
                          </a:extLst>
                        </a:blip>
                        <a:stretch>
                          <a:fillRect/>
                        </a:stretch>
                      </pic:blipFill>
                      <pic:spPr>
                        <a:xfrm>
                          <a:off x="0" y="0"/>
                          <a:ext cx="600075" cy="603250"/>
                        </a:xfrm>
                        <a:prstGeom prst="rect">
                          <a:avLst/>
                        </a:prstGeom>
                      </pic:spPr>
                    </pic:pic>
                  </a:graphicData>
                </a:graphic>
                <wp14:sizeRelH relativeFrom="margin">
                  <wp14:pctWidth>0</wp14:pctWidth>
                </wp14:sizeRelH>
                <wp14:sizeRelV relativeFrom="margin">
                  <wp14:pctHeight>0</wp14:pctHeight>
                </wp14:sizeRelV>
              </wp:anchor>
            </w:drawing>
          </w:r>
        </w:p>
      </w:tc>
      <w:tc>
        <w:tcPr>
          <w:tcW w:w="1428" w:type="dxa"/>
        </w:tcPr>
        <w:p w14:paraId="30CA1D6A" w14:textId="77ACE246" w:rsidR="005D3B9F" w:rsidRDefault="004E42C1" w:rsidP="005D3B9F">
          <w:pPr>
            <w:pStyle w:val="Header"/>
          </w:pPr>
          <w:r>
            <w:rPr>
              <w:noProof/>
            </w:rPr>
            <w:drawing>
              <wp:anchor distT="0" distB="0" distL="114300" distR="114300" simplePos="0" relativeHeight="251665408" behindDoc="0" locked="0" layoutInCell="1" allowOverlap="1" wp14:anchorId="3E717F6E" wp14:editId="62B51395">
                <wp:simplePos x="0" y="0"/>
                <wp:positionH relativeFrom="column">
                  <wp:posOffset>-12065</wp:posOffset>
                </wp:positionH>
                <wp:positionV relativeFrom="paragraph">
                  <wp:posOffset>95250</wp:posOffset>
                </wp:positionV>
                <wp:extent cx="749300" cy="749300"/>
                <wp:effectExtent l="0" t="0" r="0" b="0"/>
                <wp:wrapSquare wrapText="bothSides"/>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UA.jpg"/>
                        <pic:cNvPicPr/>
                      </pic:nvPicPr>
                      <pic:blipFill>
                        <a:blip r:embed="rId5">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margin">
                  <wp14:pctWidth>0</wp14:pctWidth>
                </wp14:sizeRelH>
                <wp14:sizeRelV relativeFrom="margin">
                  <wp14:pctHeight>0</wp14:pctHeight>
                </wp14:sizeRelV>
              </wp:anchor>
            </w:drawing>
          </w:r>
        </w:p>
      </w:tc>
      <w:tc>
        <w:tcPr>
          <w:tcW w:w="1429" w:type="dxa"/>
        </w:tcPr>
        <w:p w14:paraId="54D73875" w14:textId="0C52FA56" w:rsidR="005D3B9F" w:rsidRDefault="004E42C1" w:rsidP="005D3B9F">
          <w:pPr>
            <w:pStyle w:val="Header"/>
          </w:pPr>
          <w:r>
            <w:rPr>
              <w:noProof/>
            </w:rPr>
            <w:drawing>
              <wp:anchor distT="0" distB="0" distL="114300" distR="114300" simplePos="0" relativeHeight="251666432" behindDoc="0" locked="0" layoutInCell="1" allowOverlap="1" wp14:anchorId="665A7B00" wp14:editId="7D3F0FE4">
                <wp:simplePos x="0" y="0"/>
                <wp:positionH relativeFrom="column">
                  <wp:posOffset>67310</wp:posOffset>
                </wp:positionH>
                <wp:positionV relativeFrom="paragraph">
                  <wp:posOffset>133350</wp:posOffset>
                </wp:positionV>
                <wp:extent cx="443865" cy="628650"/>
                <wp:effectExtent l="0" t="0" r="0" b="0"/>
                <wp:wrapSquare wrapText="bothSides"/>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amasina.png"/>
                        <pic:cNvPicPr/>
                      </pic:nvPicPr>
                      <pic:blipFill>
                        <a:blip r:embed="rId6">
                          <a:extLst>
                            <a:ext uri="{28A0092B-C50C-407E-A947-70E740481C1C}">
                              <a14:useLocalDpi xmlns:a14="http://schemas.microsoft.com/office/drawing/2010/main" val="0"/>
                            </a:ext>
                          </a:extLst>
                        </a:blip>
                        <a:stretch>
                          <a:fillRect/>
                        </a:stretch>
                      </pic:blipFill>
                      <pic:spPr>
                        <a:xfrm>
                          <a:off x="0" y="0"/>
                          <a:ext cx="443865" cy="628650"/>
                        </a:xfrm>
                        <a:prstGeom prst="rect">
                          <a:avLst/>
                        </a:prstGeom>
                      </pic:spPr>
                    </pic:pic>
                  </a:graphicData>
                </a:graphic>
                <wp14:sizeRelH relativeFrom="margin">
                  <wp14:pctWidth>0</wp14:pctWidth>
                </wp14:sizeRelH>
                <wp14:sizeRelV relativeFrom="margin">
                  <wp14:pctHeight>0</wp14:pctHeight>
                </wp14:sizeRelV>
              </wp:anchor>
            </w:drawing>
          </w:r>
        </w:p>
      </w:tc>
      <w:tc>
        <w:tcPr>
          <w:tcW w:w="1429" w:type="dxa"/>
        </w:tcPr>
        <w:p w14:paraId="5F9DCF3F" w14:textId="0EE6A4BA" w:rsidR="005D3B9F" w:rsidRDefault="004E42C1" w:rsidP="005D3B9F">
          <w:pPr>
            <w:pStyle w:val="Header"/>
          </w:pPr>
          <w:r>
            <w:rPr>
              <w:noProof/>
            </w:rPr>
            <w:drawing>
              <wp:anchor distT="0" distB="0" distL="114300" distR="114300" simplePos="0" relativeHeight="251667456" behindDoc="0" locked="0" layoutInCell="1" allowOverlap="1" wp14:anchorId="414A24F3" wp14:editId="3B6C9426">
                <wp:simplePos x="0" y="0"/>
                <wp:positionH relativeFrom="column">
                  <wp:posOffset>62865</wp:posOffset>
                </wp:positionH>
                <wp:positionV relativeFrom="paragraph">
                  <wp:posOffset>207645</wp:posOffset>
                </wp:positionV>
                <wp:extent cx="450850" cy="636905"/>
                <wp:effectExtent l="0" t="0" r="6350" b="0"/>
                <wp:wrapSquare wrapText="bothSides"/>
                <wp:docPr id="73" name="Picture 7"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ANARANTSOA.png"/>
                        <pic:cNvPicPr/>
                      </pic:nvPicPr>
                      <pic:blipFill>
                        <a:blip r:embed="rId7">
                          <a:extLst>
                            <a:ext uri="{28A0092B-C50C-407E-A947-70E740481C1C}">
                              <a14:useLocalDpi xmlns:a14="http://schemas.microsoft.com/office/drawing/2010/main" val="0"/>
                            </a:ext>
                          </a:extLst>
                        </a:blip>
                        <a:stretch>
                          <a:fillRect/>
                        </a:stretch>
                      </pic:blipFill>
                      <pic:spPr>
                        <a:xfrm>
                          <a:off x="0" y="0"/>
                          <a:ext cx="450850" cy="636905"/>
                        </a:xfrm>
                        <a:prstGeom prst="rect">
                          <a:avLst/>
                        </a:prstGeom>
                      </pic:spPr>
                    </pic:pic>
                  </a:graphicData>
                </a:graphic>
                <wp14:sizeRelH relativeFrom="margin">
                  <wp14:pctWidth>0</wp14:pctWidth>
                </wp14:sizeRelH>
                <wp14:sizeRelV relativeFrom="margin">
                  <wp14:pctHeight>0</wp14:pctHeight>
                </wp14:sizeRelV>
              </wp:anchor>
            </w:drawing>
          </w:r>
        </w:p>
      </w:tc>
    </w:tr>
  </w:tbl>
  <w:p w14:paraId="6C9DE86E" w14:textId="537E9689" w:rsidR="00F85731" w:rsidRPr="005D3B9F" w:rsidRDefault="00F85731" w:rsidP="005D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F4089"/>
    <w:multiLevelType w:val="hybridMultilevel"/>
    <w:tmpl w:val="F74CDBFE"/>
    <w:lvl w:ilvl="0" w:tplc="6C068C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360E35"/>
    <w:multiLevelType w:val="hybridMultilevel"/>
    <w:tmpl w:val="63C636A8"/>
    <w:lvl w:ilvl="0" w:tplc="1AE297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14791E"/>
    <w:multiLevelType w:val="hybridMultilevel"/>
    <w:tmpl w:val="74F6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C2B"/>
    <w:rsid w:val="0000249F"/>
    <w:rsid w:val="000238BB"/>
    <w:rsid w:val="00024921"/>
    <w:rsid w:val="00025C49"/>
    <w:rsid w:val="0003567F"/>
    <w:rsid w:val="00065F0B"/>
    <w:rsid w:val="00084CB5"/>
    <w:rsid w:val="000873ED"/>
    <w:rsid w:val="00087FA7"/>
    <w:rsid w:val="00092564"/>
    <w:rsid w:val="000D2AC5"/>
    <w:rsid w:val="000D2F9B"/>
    <w:rsid w:val="000E3889"/>
    <w:rsid w:val="000E458E"/>
    <w:rsid w:val="000E48A7"/>
    <w:rsid w:val="00111BA2"/>
    <w:rsid w:val="0011259C"/>
    <w:rsid w:val="00127164"/>
    <w:rsid w:val="00130C2B"/>
    <w:rsid w:val="0013278F"/>
    <w:rsid w:val="0015460C"/>
    <w:rsid w:val="0016166D"/>
    <w:rsid w:val="001661BA"/>
    <w:rsid w:val="0016709F"/>
    <w:rsid w:val="00181FCA"/>
    <w:rsid w:val="00195753"/>
    <w:rsid w:val="001A55DA"/>
    <w:rsid w:val="001A756E"/>
    <w:rsid w:val="001C53EF"/>
    <w:rsid w:val="001D07D6"/>
    <w:rsid w:val="001D7AA7"/>
    <w:rsid w:val="001E183B"/>
    <w:rsid w:val="001E226A"/>
    <w:rsid w:val="001E2A8C"/>
    <w:rsid w:val="001E2E87"/>
    <w:rsid w:val="001E5693"/>
    <w:rsid w:val="001E64A6"/>
    <w:rsid w:val="00210B06"/>
    <w:rsid w:val="00215FCE"/>
    <w:rsid w:val="00231A74"/>
    <w:rsid w:val="0024444D"/>
    <w:rsid w:val="00251061"/>
    <w:rsid w:val="0026070A"/>
    <w:rsid w:val="002609A8"/>
    <w:rsid w:val="002779D9"/>
    <w:rsid w:val="00284AA4"/>
    <w:rsid w:val="002A1139"/>
    <w:rsid w:val="002A60AF"/>
    <w:rsid w:val="002B0DE8"/>
    <w:rsid w:val="002B0EC2"/>
    <w:rsid w:val="002B369C"/>
    <w:rsid w:val="002B4253"/>
    <w:rsid w:val="002B7D26"/>
    <w:rsid w:val="002D07B6"/>
    <w:rsid w:val="002D18D5"/>
    <w:rsid w:val="002E04B6"/>
    <w:rsid w:val="002E26B7"/>
    <w:rsid w:val="002F31B5"/>
    <w:rsid w:val="002F5998"/>
    <w:rsid w:val="003127C6"/>
    <w:rsid w:val="0031673B"/>
    <w:rsid w:val="0032076F"/>
    <w:rsid w:val="00321D8A"/>
    <w:rsid w:val="00325D89"/>
    <w:rsid w:val="00336703"/>
    <w:rsid w:val="00350397"/>
    <w:rsid w:val="00367CC6"/>
    <w:rsid w:val="003806D2"/>
    <w:rsid w:val="003861AF"/>
    <w:rsid w:val="00392232"/>
    <w:rsid w:val="003B16C8"/>
    <w:rsid w:val="003B678A"/>
    <w:rsid w:val="003D2815"/>
    <w:rsid w:val="003D4D40"/>
    <w:rsid w:val="003D6844"/>
    <w:rsid w:val="00402E04"/>
    <w:rsid w:val="00403421"/>
    <w:rsid w:val="0041075A"/>
    <w:rsid w:val="004174E0"/>
    <w:rsid w:val="00424BC7"/>
    <w:rsid w:val="0042591B"/>
    <w:rsid w:val="00432166"/>
    <w:rsid w:val="004353A0"/>
    <w:rsid w:val="004368D7"/>
    <w:rsid w:val="00444E35"/>
    <w:rsid w:val="00445240"/>
    <w:rsid w:val="00451CD6"/>
    <w:rsid w:val="004548F0"/>
    <w:rsid w:val="0047372A"/>
    <w:rsid w:val="00473DC7"/>
    <w:rsid w:val="00474404"/>
    <w:rsid w:val="004770E7"/>
    <w:rsid w:val="004778E4"/>
    <w:rsid w:val="00485822"/>
    <w:rsid w:val="00491BFC"/>
    <w:rsid w:val="004961ED"/>
    <w:rsid w:val="004A3F96"/>
    <w:rsid w:val="004B1FDD"/>
    <w:rsid w:val="004B45E4"/>
    <w:rsid w:val="004B4CE1"/>
    <w:rsid w:val="004E284E"/>
    <w:rsid w:val="004E42C1"/>
    <w:rsid w:val="004F1998"/>
    <w:rsid w:val="004F76E3"/>
    <w:rsid w:val="004F7CF5"/>
    <w:rsid w:val="00502A14"/>
    <w:rsid w:val="00524432"/>
    <w:rsid w:val="005262C6"/>
    <w:rsid w:val="00527A60"/>
    <w:rsid w:val="00550FBB"/>
    <w:rsid w:val="00552BAC"/>
    <w:rsid w:val="005541C2"/>
    <w:rsid w:val="0056035E"/>
    <w:rsid w:val="005657AD"/>
    <w:rsid w:val="00572A96"/>
    <w:rsid w:val="00573101"/>
    <w:rsid w:val="00586BBC"/>
    <w:rsid w:val="0059191B"/>
    <w:rsid w:val="00593AE2"/>
    <w:rsid w:val="0059612D"/>
    <w:rsid w:val="005A084C"/>
    <w:rsid w:val="005A2E4D"/>
    <w:rsid w:val="005A5E79"/>
    <w:rsid w:val="005C62EC"/>
    <w:rsid w:val="005D3B9F"/>
    <w:rsid w:val="005E17B3"/>
    <w:rsid w:val="005F77B0"/>
    <w:rsid w:val="00601278"/>
    <w:rsid w:val="00605E17"/>
    <w:rsid w:val="00615135"/>
    <w:rsid w:val="00627F7D"/>
    <w:rsid w:val="00633C30"/>
    <w:rsid w:val="00651E5F"/>
    <w:rsid w:val="00657F3D"/>
    <w:rsid w:val="00681329"/>
    <w:rsid w:val="00686090"/>
    <w:rsid w:val="00686F60"/>
    <w:rsid w:val="006A0DF7"/>
    <w:rsid w:val="006A684F"/>
    <w:rsid w:val="006B08FF"/>
    <w:rsid w:val="006B2BDA"/>
    <w:rsid w:val="006B79CF"/>
    <w:rsid w:val="006B7CA4"/>
    <w:rsid w:val="006C3BBE"/>
    <w:rsid w:val="006E0278"/>
    <w:rsid w:val="006E12E7"/>
    <w:rsid w:val="006E3283"/>
    <w:rsid w:val="006F07FD"/>
    <w:rsid w:val="007006B9"/>
    <w:rsid w:val="007022CE"/>
    <w:rsid w:val="00705C69"/>
    <w:rsid w:val="00712952"/>
    <w:rsid w:val="00716257"/>
    <w:rsid w:val="00716F12"/>
    <w:rsid w:val="00720A75"/>
    <w:rsid w:val="00730C45"/>
    <w:rsid w:val="00737DAB"/>
    <w:rsid w:val="00747401"/>
    <w:rsid w:val="007635F5"/>
    <w:rsid w:val="0078698D"/>
    <w:rsid w:val="00792884"/>
    <w:rsid w:val="007A134C"/>
    <w:rsid w:val="007A3C30"/>
    <w:rsid w:val="007A4C43"/>
    <w:rsid w:val="007D6C36"/>
    <w:rsid w:val="007E677D"/>
    <w:rsid w:val="007F57DA"/>
    <w:rsid w:val="007F7572"/>
    <w:rsid w:val="008011F4"/>
    <w:rsid w:val="00820CC2"/>
    <w:rsid w:val="00836034"/>
    <w:rsid w:val="00854263"/>
    <w:rsid w:val="00856499"/>
    <w:rsid w:val="008578BA"/>
    <w:rsid w:val="00865308"/>
    <w:rsid w:val="00873868"/>
    <w:rsid w:val="00880CE3"/>
    <w:rsid w:val="008B243E"/>
    <w:rsid w:val="008B4F21"/>
    <w:rsid w:val="008C5CF8"/>
    <w:rsid w:val="008F02E8"/>
    <w:rsid w:val="00901A84"/>
    <w:rsid w:val="00915B03"/>
    <w:rsid w:val="0091730A"/>
    <w:rsid w:val="009210AE"/>
    <w:rsid w:val="00921ABF"/>
    <w:rsid w:val="00926081"/>
    <w:rsid w:val="009278CA"/>
    <w:rsid w:val="00940D09"/>
    <w:rsid w:val="00952A9B"/>
    <w:rsid w:val="00952BA9"/>
    <w:rsid w:val="00955B80"/>
    <w:rsid w:val="00970719"/>
    <w:rsid w:val="0098322F"/>
    <w:rsid w:val="009A20A5"/>
    <w:rsid w:val="009A5269"/>
    <w:rsid w:val="009B292E"/>
    <w:rsid w:val="009C164E"/>
    <w:rsid w:val="009C32FE"/>
    <w:rsid w:val="009C51BB"/>
    <w:rsid w:val="009C7048"/>
    <w:rsid w:val="009C7E72"/>
    <w:rsid w:val="009D06C1"/>
    <w:rsid w:val="009E132F"/>
    <w:rsid w:val="009F1B13"/>
    <w:rsid w:val="00A03091"/>
    <w:rsid w:val="00A12ED9"/>
    <w:rsid w:val="00A143F4"/>
    <w:rsid w:val="00A170A5"/>
    <w:rsid w:val="00A25C6E"/>
    <w:rsid w:val="00A26661"/>
    <w:rsid w:val="00A33F5D"/>
    <w:rsid w:val="00A36577"/>
    <w:rsid w:val="00A60DCD"/>
    <w:rsid w:val="00A6406E"/>
    <w:rsid w:val="00A647E1"/>
    <w:rsid w:val="00A72C8A"/>
    <w:rsid w:val="00A759B7"/>
    <w:rsid w:val="00A81CE7"/>
    <w:rsid w:val="00A85F49"/>
    <w:rsid w:val="00A90FFD"/>
    <w:rsid w:val="00A915D6"/>
    <w:rsid w:val="00A97728"/>
    <w:rsid w:val="00AA0268"/>
    <w:rsid w:val="00AA0EDB"/>
    <w:rsid w:val="00AB000C"/>
    <w:rsid w:val="00AB2B84"/>
    <w:rsid w:val="00AB4DF8"/>
    <w:rsid w:val="00AC2632"/>
    <w:rsid w:val="00AC4534"/>
    <w:rsid w:val="00AD16A7"/>
    <w:rsid w:val="00AD46AE"/>
    <w:rsid w:val="00AF5847"/>
    <w:rsid w:val="00B01730"/>
    <w:rsid w:val="00B05039"/>
    <w:rsid w:val="00B16EB7"/>
    <w:rsid w:val="00B21666"/>
    <w:rsid w:val="00B23037"/>
    <w:rsid w:val="00B34B4A"/>
    <w:rsid w:val="00B618F9"/>
    <w:rsid w:val="00B72314"/>
    <w:rsid w:val="00B75476"/>
    <w:rsid w:val="00B806F0"/>
    <w:rsid w:val="00B81589"/>
    <w:rsid w:val="00B81C4C"/>
    <w:rsid w:val="00B94121"/>
    <w:rsid w:val="00B97327"/>
    <w:rsid w:val="00B97FC9"/>
    <w:rsid w:val="00BB1727"/>
    <w:rsid w:val="00BB3BE4"/>
    <w:rsid w:val="00BC7C05"/>
    <w:rsid w:val="00BD0932"/>
    <w:rsid w:val="00BD6266"/>
    <w:rsid w:val="00BF1670"/>
    <w:rsid w:val="00BF2B24"/>
    <w:rsid w:val="00BF4581"/>
    <w:rsid w:val="00C00D6E"/>
    <w:rsid w:val="00C044DD"/>
    <w:rsid w:val="00C16E49"/>
    <w:rsid w:val="00C230FC"/>
    <w:rsid w:val="00C33DFA"/>
    <w:rsid w:val="00C346CF"/>
    <w:rsid w:val="00C37402"/>
    <w:rsid w:val="00C417E5"/>
    <w:rsid w:val="00C426F9"/>
    <w:rsid w:val="00C45CCF"/>
    <w:rsid w:val="00C4758A"/>
    <w:rsid w:val="00C51707"/>
    <w:rsid w:val="00C54292"/>
    <w:rsid w:val="00C7539D"/>
    <w:rsid w:val="00C8097B"/>
    <w:rsid w:val="00C95432"/>
    <w:rsid w:val="00CA0E16"/>
    <w:rsid w:val="00CB1BD8"/>
    <w:rsid w:val="00CC5C97"/>
    <w:rsid w:val="00CD3ECF"/>
    <w:rsid w:val="00CE1F66"/>
    <w:rsid w:val="00D14647"/>
    <w:rsid w:val="00D230DC"/>
    <w:rsid w:val="00D237B2"/>
    <w:rsid w:val="00D34A30"/>
    <w:rsid w:val="00D4050C"/>
    <w:rsid w:val="00D55EC8"/>
    <w:rsid w:val="00D716BB"/>
    <w:rsid w:val="00D76CD4"/>
    <w:rsid w:val="00D77F2E"/>
    <w:rsid w:val="00D830C3"/>
    <w:rsid w:val="00D87616"/>
    <w:rsid w:val="00D920C1"/>
    <w:rsid w:val="00D940BD"/>
    <w:rsid w:val="00D95448"/>
    <w:rsid w:val="00D97A2C"/>
    <w:rsid w:val="00DA15CC"/>
    <w:rsid w:val="00DA3F5D"/>
    <w:rsid w:val="00DA701D"/>
    <w:rsid w:val="00DB18D5"/>
    <w:rsid w:val="00DB1F05"/>
    <w:rsid w:val="00DC2065"/>
    <w:rsid w:val="00DC583C"/>
    <w:rsid w:val="00DD0165"/>
    <w:rsid w:val="00DF602E"/>
    <w:rsid w:val="00E04701"/>
    <w:rsid w:val="00E23BE9"/>
    <w:rsid w:val="00E431A3"/>
    <w:rsid w:val="00E560EA"/>
    <w:rsid w:val="00E626BE"/>
    <w:rsid w:val="00E65221"/>
    <w:rsid w:val="00E677C3"/>
    <w:rsid w:val="00E731AC"/>
    <w:rsid w:val="00E73A64"/>
    <w:rsid w:val="00E77E98"/>
    <w:rsid w:val="00E903C2"/>
    <w:rsid w:val="00E978A6"/>
    <w:rsid w:val="00EB1D6E"/>
    <w:rsid w:val="00EE3429"/>
    <w:rsid w:val="00EE599D"/>
    <w:rsid w:val="00F170D9"/>
    <w:rsid w:val="00F17C44"/>
    <w:rsid w:val="00F4392F"/>
    <w:rsid w:val="00F4508D"/>
    <w:rsid w:val="00F45808"/>
    <w:rsid w:val="00F4633C"/>
    <w:rsid w:val="00F47A01"/>
    <w:rsid w:val="00F50BBD"/>
    <w:rsid w:val="00F52EA5"/>
    <w:rsid w:val="00F53988"/>
    <w:rsid w:val="00F55A05"/>
    <w:rsid w:val="00F61AFB"/>
    <w:rsid w:val="00F744B8"/>
    <w:rsid w:val="00F85731"/>
    <w:rsid w:val="00F91F44"/>
    <w:rsid w:val="00FA0610"/>
    <w:rsid w:val="00FA5D25"/>
    <w:rsid w:val="00FA634A"/>
    <w:rsid w:val="00FA67E0"/>
    <w:rsid w:val="00FB3EC8"/>
    <w:rsid w:val="00FB4D53"/>
    <w:rsid w:val="00FB67A3"/>
    <w:rsid w:val="00FC060A"/>
    <w:rsid w:val="00FC3E62"/>
    <w:rsid w:val="00FC7D0E"/>
    <w:rsid w:val="00FE18D2"/>
    <w:rsid w:val="00FF348C"/>
    <w:rsid w:val="00FF6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9D7BB6"/>
  <w15:chartTrackingRefBased/>
  <w15:docId w15:val="{732A688E-3232-452A-AFBE-E6B572DE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12E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A68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2A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link w:val="Heading7Char"/>
    <w:qFormat/>
    <w:rsid w:val="006E12E7"/>
    <w:pPr>
      <w:spacing w:before="100" w:beforeAutospacing="1" w:after="100" w:afterAutospacing="1"/>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E12E7"/>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E12E7"/>
    <w:pPr>
      <w:tabs>
        <w:tab w:val="center" w:pos="4536"/>
        <w:tab w:val="right" w:pos="9072"/>
      </w:tabs>
    </w:pPr>
  </w:style>
  <w:style w:type="character" w:customStyle="1" w:styleId="HeaderChar">
    <w:name w:val="Header Char"/>
    <w:basedOn w:val="DefaultParagraphFont"/>
    <w:link w:val="Header"/>
    <w:uiPriority w:val="99"/>
    <w:rsid w:val="006E12E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E12E7"/>
    <w:pPr>
      <w:tabs>
        <w:tab w:val="center" w:pos="4536"/>
        <w:tab w:val="right" w:pos="9072"/>
      </w:tabs>
    </w:pPr>
  </w:style>
  <w:style w:type="character" w:customStyle="1" w:styleId="FooterChar">
    <w:name w:val="Footer Char"/>
    <w:basedOn w:val="DefaultParagraphFont"/>
    <w:link w:val="Footer"/>
    <w:uiPriority w:val="99"/>
    <w:rsid w:val="006E12E7"/>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6E12E7"/>
    <w:rPr>
      <w:sz w:val="20"/>
      <w:szCs w:val="20"/>
    </w:rPr>
  </w:style>
  <w:style w:type="character" w:customStyle="1" w:styleId="CommentTextChar">
    <w:name w:val="Comment Text Char"/>
    <w:basedOn w:val="DefaultParagraphFont"/>
    <w:link w:val="CommentText"/>
    <w:uiPriority w:val="99"/>
    <w:rsid w:val="006E12E7"/>
    <w:rPr>
      <w:rFonts w:ascii="Times New Roman" w:eastAsia="Times New Roman" w:hAnsi="Times New Roman" w:cs="Times New Roman"/>
      <w:sz w:val="20"/>
      <w:szCs w:val="20"/>
      <w:lang w:val="en-US"/>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A33F5D"/>
    <w:pPr>
      <w:spacing w:after="160" w:line="259" w:lineRule="auto"/>
      <w:ind w:left="720"/>
      <w:contextualSpacing/>
    </w:pPr>
    <w:rPr>
      <w:rFonts w:asciiTheme="minorHAnsi" w:eastAsiaTheme="minorHAnsi" w:hAnsiTheme="minorHAnsi" w:cstheme="minorBidi"/>
      <w:sz w:val="22"/>
      <w:szCs w:val="22"/>
      <w:lang w:val="fr-CA"/>
    </w:rPr>
  </w:style>
  <w:style w:type="character" w:styleId="CommentReference">
    <w:name w:val="annotation reference"/>
    <w:basedOn w:val="DefaultParagraphFont"/>
    <w:uiPriority w:val="99"/>
    <w:semiHidden/>
    <w:unhideWhenUsed/>
    <w:rsid w:val="00A33F5D"/>
    <w:rPr>
      <w:sz w:val="16"/>
      <w:szCs w:val="16"/>
    </w:rPr>
  </w:style>
  <w:style w:type="paragraph" w:styleId="BalloonText">
    <w:name w:val="Balloon Text"/>
    <w:basedOn w:val="Normal"/>
    <w:link w:val="BalloonTextChar"/>
    <w:uiPriority w:val="99"/>
    <w:semiHidden/>
    <w:unhideWhenUsed/>
    <w:rsid w:val="00A33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5D"/>
    <w:rPr>
      <w:rFonts w:ascii="Segoe UI" w:eastAsia="Times New Roman" w:hAnsi="Segoe UI" w:cs="Segoe UI"/>
      <w:sz w:val="18"/>
      <w:szCs w:val="18"/>
      <w:lang w:val="en-US"/>
    </w:rPr>
  </w:style>
  <w:style w:type="table" w:styleId="TableGrid">
    <w:name w:val="Table Grid"/>
    <w:basedOn w:val="TableNormal"/>
    <w:uiPriority w:val="39"/>
    <w:rsid w:val="00445240"/>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45CCF"/>
    <w:rPr>
      <w:b/>
      <w:bCs/>
    </w:rPr>
  </w:style>
  <w:style w:type="character" w:customStyle="1" w:styleId="CommentSubjectChar">
    <w:name w:val="Comment Subject Char"/>
    <w:basedOn w:val="CommentTextChar"/>
    <w:link w:val="CommentSubject"/>
    <w:uiPriority w:val="99"/>
    <w:semiHidden/>
    <w:rsid w:val="00C45CCF"/>
    <w:rPr>
      <w:rFonts w:ascii="Times New Roman" w:eastAsia="Times New Roman" w:hAnsi="Times New Roman" w:cs="Times New Roman"/>
      <w:b/>
      <w:bCs/>
      <w:sz w:val="20"/>
      <w:szCs w:val="20"/>
      <w:lang w:val="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rsid w:val="00E23BE9"/>
    <w:rPr>
      <w:lang w:val="fr-CA"/>
    </w:rPr>
  </w:style>
  <w:style w:type="character" w:styleId="Hyperlink">
    <w:name w:val="Hyperlink"/>
    <w:basedOn w:val="DefaultParagraphFont"/>
    <w:uiPriority w:val="99"/>
    <w:unhideWhenUsed/>
    <w:rsid w:val="00502A14"/>
    <w:rPr>
      <w:color w:val="0563C1" w:themeColor="hyperlink"/>
      <w:u w:val="single"/>
    </w:rPr>
  </w:style>
  <w:style w:type="character" w:styleId="UnresolvedMention">
    <w:name w:val="Unresolved Mention"/>
    <w:basedOn w:val="DefaultParagraphFont"/>
    <w:uiPriority w:val="99"/>
    <w:semiHidden/>
    <w:unhideWhenUsed/>
    <w:rsid w:val="00502A14"/>
    <w:rPr>
      <w:color w:val="605E5C"/>
      <w:shd w:val="clear" w:color="auto" w:fill="E1DFDD"/>
    </w:rPr>
  </w:style>
  <w:style w:type="character" w:customStyle="1" w:styleId="Heading1Char">
    <w:name w:val="Heading 1 Char"/>
    <w:basedOn w:val="DefaultParagraphFont"/>
    <w:link w:val="Heading1"/>
    <w:uiPriority w:val="9"/>
    <w:rsid w:val="006A684F"/>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952A9B"/>
    <w:rPr>
      <w:rFonts w:asciiTheme="majorHAnsi" w:eastAsiaTheme="majorEastAsia" w:hAnsiTheme="majorHAnsi" w:cstheme="majorBidi"/>
      <w:color w:val="2E74B5" w:themeColor="accent1" w:themeShade="BF"/>
      <w:sz w:val="26"/>
      <w:szCs w:val="26"/>
      <w:lang w:val="en-US"/>
    </w:rPr>
  </w:style>
  <w:style w:type="paragraph" w:styleId="NormalWeb">
    <w:name w:val="Normal (Web)"/>
    <w:basedOn w:val="Normal"/>
    <w:uiPriority w:val="99"/>
    <w:unhideWhenUsed/>
    <w:rsid w:val="002B4253"/>
    <w:pPr>
      <w:spacing w:before="100" w:beforeAutospacing="1" w:after="100" w:afterAutospacing="1"/>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041034">
      <w:bodyDiv w:val="1"/>
      <w:marLeft w:val="0"/>
      <w:marRight w:val="0"/>
      <w:marTop w:val="0"/>
      <w:marBottom w:val="0"/>
      <w:divBdr>
        <w:top w:val="none" w:sz="0" w:space="0" w:color="auto"/>
        <w:left w:val="none" w:sz="0" w:space="0" w:color="auto"/>
        <w:bottom w:val="none" w:sz="0" w:space="0" w:color="auto"/>
        <w:right w:val="none" w:sz="0" w:space="0" w:color="auto"/>
      </w:divBdr>
    </w:div>
    <w:div w:id="17911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g"/><Relationship Id="rId6" Type="http://schemas.openxmlformats.org/officeDocument/2006/relationships/image" Target="media/image13.jp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jfif"/><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9A35C21A63D46B7EA732D6F964954" ma:contentTypeVersion="12" ma:contentTypeDescription="Create a new document." ma:contentTypeScope="" ma:versionID="18f4ada8282f215a8747037a9fa515a9">
  <xsd:schema xmlns:xsd="http://www.w3.org/2001/XMLSchema" xmlns:xs="http://www.w3.org/2001/XMLSchema" xmlns:p="http://schemas.microsoft.com/office/2006/metadata/properties" xmlns:ns3="dee8a66c-2b1f-49f8-84d4-0f78192290d7" xmlns:ns4="69e16d29-93d4-4d8b-8a45-8a6954fbf1cf" targetNamespace="http://schemas.microsoft.com/office/2006/metadata/properties" ma:root="true" ma:fieldsID="14e075b910ac935a02616b0f39e95263" ns3:_="" ns4:_="">
    <xsd:import namespace="dee8a66c-2b1f-49f8-84d4-0f78192290d7"/>
    <xsd:import namespace="69e16d29-93d4-4d8b-8a45-8a6954fbf1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8a66c-2b1f-49f8-84d4-0f7819229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e16d29-93d4-4d8b-8a45-8a6954fbf1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FD35C-E801-49E7-875B-0F67B64D9DC9}">
  <ds:schemaRefs>
    <ds:schemaRef ds:uri="http://schemas.microsoft.com/office/2006/documentManagement/types"/>
    <ds:schemaRef ds:uri="http://schemas.openxmlformats.org/package/2006/metadata/core-properties"/>
    <ds:schemaRef ds:uri="69e16d29-93d4-4d8b-8a45-8a6954fbf1cf"/>
    <ds:schemaRef ds:uri="http://purl.org/dc/dcmitype/"/>
    <ds:schemaRef ds:uri="http://purl.org/dc/elements/1.1/"/>
    <ds:schemaRef ds:uri="http://www.w3.org/XML/1998/namespace"/>
    <ds:schemaRef ds:uri="http://schemas.microsoft.com/office/infopath/2007/PartnerControls"/>
    <ds:schemaRef ds:uri="dee8a66c-2b1f-49f8-84d4-0f78192290d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B1BC52-E3FA-4AB0-A195-C17862E6270A}">
  <ds:schemaRefs>
    <ds:schemaRef ds:uri="http://schemas.microsoft.com/sharepoint/v3/contenttype/forms"/>
  </ds:schemaRefs>
</ds:datastoreItem>
</file>

<file path=customXml/itemProps3.xml><?xml version="1.0" encoding="utf-8"?>
<ds:datastoreItem xmlns:ds="http://schemas.openxmlformats.org/officeDocument/2006/customXml" ds:itemID="{669756A4-132F-4069-B789-74F0110BC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8a66c-2b1f-49f8-84d4-0f78192290d7"/>
    <ds:schemaRef ds:uri="69e16d29-93d4-4d8b-8a45-8a6954fbf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017A61-6163-4264-9ADD-5FE80DFE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1036</Words>
  <Characters>5906</Characters>
  <Application>Microsoft Office Word</Application>
  <DocSecurity>4</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HP_450_06</dc:creator>
  <cp:keywords/>
  <dc:description/>
  <cp:lastModifiedBy>Rindra Rakotovoahangy</cp:lastModifiedBy>
  <cp:revision>2</cp:revision>
  <dcterms:created xsi:type="dcterms:W3CDTF">2020-04-24T07:01:00Z</dcterms:created>
  <dcterms:modified xsi:type="dcterms:W3CDTF">2020-04-24T07:01:00Z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0x010100FB59A35C21A63D46B7EA732D6F964954</vt:lpwstr>
  </property>
</Properties>
</file>